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5515395d9638e0311d509063a70c906fd774eb7"/>
    <w:p>
      <w:pPr>
        <w:pStyle w:val="Heading1"/>
      </w:pPr>
      <w:r>
        <w:t xml:space="preserve">Endpoint justification: what is modelled, why, and where the training values come from</w:t>
      </w:r>
    </w:p>
    <w:p>
      <w:pPr>
        <w:pStyle w:val="FirstParagraph"/>
      </w:pPr>
      <w:r>
        <w:t xml:space="preserve">Every count in this document is read live from</w:t>
      </w:r>
      <w:r>
        <w:t xml:space="preserve"> </w:t>
      </w:r>
      <w:r>
        <w:rPr>
          <w:rStyle w:val="VerbatimChar"/>
        </w:rPr>
        <w:t xml:space="preserve">results/tables/MODEL_INVENTORY.csv</w:t>
      </w:r>
      <w:r>
        <w:t xml:space="preserve">,</w:t>
      </w:r>
      <w:r>
        <w:t xml:space="preserve"> </w:t>
      </w:r>
      <w:r>
        <w:rPr>
          <w:rStyle w:val="VerbatimChar"/>
        </w:rPr>
        <w:t xml:space="preserve">models_rf/binder_modes.json</w:t>
      </w:r>
      <w:r>
        <w:t xml:space="preserve"> </w:t>
      </w:r>
      <w:r>
        <w:t xml:space="preserve">and</w:t>
      </w:r>
      <w:r>
        <w:t xml:space="preserve"> </w:t>
      </w:r>
      <w:r>
        <w:rPr>
          <w:rStyle w:val="VerbatimChar"/>
        </w:rPr>
        <w:t xml:space="preserve">results/tables/np_target_survey.csv</w:t>
      </w:r>
      <w:r>
        <w:t xml:space="preserve"> </w:t>
      </w:r>
      <w:r>
        <w:t xml:space="preserve">by</w:t>
      </w:r>
      <w:r>
        <w:t xml:space="preserve"> </w:t>
      </w:r>
      <w:r>
        <w:rPr>
          <w:rStyle w:val="VerbatimChar"/>
        </w:rPr>
        <w:t xml:space="preserve">tools/build_endpoint_justification.py</w:t>
      </w:r>
      <w:r>
        <w:t xml:space="preserve">, and reflects the panel as deployed on 2026-09-17. It replaces</w:t>
      </w:r>
      <w:r>
        <w:t xml:space="preserve"> </w:t>
      </w:r>
      <w:r>
        <w:t xml:space="preserve">an earlier version of this document describing a twelve-endpoint panel that predates the binder</w:t>
      </w:r>
      <w:r>
        <w:t xml:space="preserve"> </w:t>
      </w:r>
      <w:r>
        <w:t xml:space="preserve">architecture and the target-panel expansion; nothing in this file is carried forward from that</w:t>
      </w:r>
      <w:r>
        <w:t xml:space="preserve"> </w:t>
      </w:r>
      <w:r>
        <w:t xml:space="preserve">version without being re-verified against the current artefacts.</w:t>
      </w:r>
    </w:p>
    <w:bookmarkStart w:id="18" w:name="overview"/>
    <w:p>
      <w:pPr>
        <w:pStyle w:val="Heading2"/>
      </w:pPr>
      <w:r>
        <w:t xml:space="preserve">1. Overview</w:t>
      </w:r>
    </w:p>
    <w:p>
      <w:pPr>
        <w:pStyle w:val="FirstParagraph"/>
      </w:pPr>
      <w:r>
        <w:t xml:space="preserve">The deployed server answers four questions about a candidate molecule, in the order a medicinal</w:t>
      </w:r>
      <w:r>
        <w:t xml:space="preserve"> </w:t>
      </w:r>
      <w:r>
        <w:t xml:space="preserve">chemist would ask them: does it reach the brain (</w:t>
      </w:r>
      <w:r>
        <w:rPr>
          <w:i/>
          <w:iCs/>
        </w:rPr>
        <w:t xml:space="preserve">exposure</w:t>
      </w:r>
      <w:r>
        <w:t xml:space="preserve">), does it engage a mechanism relevant to</w:t>
      </w:r>
      <w:r>
        <w:t xml:space="preserve"> </w:t>
      </w:r>
      <w:r>
        <w:t xml:space="preserve">a CNS condition (</w:t>
      </w:r>
      <w:r>
        <w:rPr>
          <w:i/>
          <w:iCs/>
        </w:rPr>
        <w:t xml:space="preserve">target engagement</w:t>
      </w:r>
      <w:r>
        <w:t xml:space="preserve">), is it safe (</w:t>
      </w:r>
      <w:r>
        <w:rPr>
          <w:i/>
          <w:iCs/>
        </w:rPr>
        <w:t xml:space="preserve">safety</w:t>
      </w:r>
      <w:r>
        <w:t xml:space="preserve">), and is it developable (</w:t>
      </w:r>
      <w:r>
        <w:rPr>
          <w:i/>
          <w:iCs/>
        </w:rPr>
        <w:t xml:space="preserve">ADME</w:t>
      </w:r>
      <w:r>
        <w:t xml:space="preserve">). This is</w:t>
      </w:r>
      <w:r>
        <w:t xml:space="preserve"> </w:t>
      </w:r>
      <w:r>
        <w:t xml:space="preserve">covered by</w:t>
      </w:r>
      <w:r>
        <w:t xml:space="preserve"> </w:t>
      </w:r>
      <w:r>
        <w:rPr>
          <w:b/>
          <w:bCs/>
        </w:rPr>
        <w:t xml:space="preserve">75 trained estimators</w:t>
      </w:r>
      <w:r>
        <w:t xml:space="preserve">, of which</w:t>
      </w:r>
      <w:r>
        <w:t xml:space="preserve"> </w:t>
      </w:r>
      <w:r>
        <w:rPr>
          <w:b/>
          <w:bCs/>
        </w:rPr>
        <w:t xml:space="preserve">70 are deployed</w:t>
      </w:r>
      <w:r>
        <w:t xml:space="preserve"> </w:t>
      </w:r>
      <w:r>
        <w:t xml:space="preserve">and 5 were trained, tested and withdrawn after failing a specificity or</w:t>
      </w:r>
      <w:r>
        <w:t xml:space="preserve"> </w:t>
      </w:r>
      <w:r>
        <w:t xml:space="preserve">discrimination check described in section 3. The deployed panel spans</w:t>
      </w:r>
      <w:r>
        <w:t xml:space="preserve"> </w:t>
      </w:r>
      <w:r>
        <w:rPr>
          <w:b/>
          <w:bCs/>
        </w:rPr>
        <w:t xml:space="preserve">54 molecular</w:t>
      </w:r>
      <w:r>
        <w:rPr>
          <w:b/>
          <w:bCs/>
        </w:rPr>
        <w:t xml:space="preserve"> </w:t>
      </w:r>
      <w:r>
        <w:rPr>
          <w:b/>
          <w:bCs/>
        </w:rPr>
        <w:t xml:space="preserve">targets</w:t>
      </w:r>
      <w:r>
        <w:t xml:space="preserve">, a 10-endpoint exposure and ADME layer, and one cardiac-safety classifier.</w:t>
      </w:r>
    </w:p>
    <w:p>
      <w:pPr>
        <w:pStyle w:val="BodyText"/>
      </w:pPr>
      <w:r>
        <w:t xml:space="preserve">Target engagement is covered two ways, and both are counted above rather than one being treated as</w:t>
      </w:r>
      <w:r>
        <w:t xml:space="preserve"> </w:t>
      </w:r>
      <w:r>
        <w:t xml:space="preserve">supplementary.</w:t>
      </w:r>
      <w:r>
        <w:t xml:space="preserve"> </w:t>
      </w:r>
      <w:r>
        <w:rPr>
          <w:b/>
          <w:bCs/>
        </w:rPr>
        <w:t xml:space="preserve">12 core endpoints</w:t>
      </w:r>
      <w:r>
        <w:t xml:space="preserve"> </w:t>
      </w:r>
      <w:r>
        <w:t xml:space="preserve">(A2A, AChE, BACE1, BChE, D2, GSK3B, HT2A, MAO_A, MAO_B, SERT, antioxidant_DPPH, pka_basic) are trained on</w:t>
      </w:r>
      <w:r>
        <w:t xml:space="preserve"> </w:t>
      </w:r>
      <w:r>
        <w:t xml:space="preserve">measured potency or activity, most reported as a decade-old, well-characterised assay.</w:t>
      </w:r>
      <w:r>
        <w:t xml:space="preserve"> </w:t>
      </w:r>
      <w:r>
        <w:rPr>
          <w:b/>
          <w:bCs/>
        </w:rPr>
        <w:t xml:space="preserve">The</w:t>
      </w:r>
      <w:r>
        <w:rPr>
          <w:b/>
          <w:bCs/>
        </w:rPr>
        <w:t xml:space="preserve"> </w:t>
      </w:r>
      <w:r>
        <w:rPr>
          <w:b/>
          <w:bCs/>
        </w:rPr>
        <w:t xml:space="preserve">52-endpoint binder panel</w:t>
      </w:r>
      <w:r>
        <w:t xml:space="preserve"> </w:t>
      </w:r>
      <w:r>
        <w:t xml:space="preserve">(47 deployed) extends this to receptors and</w:t>
      </w:r>
      <w:r>
        <w:t xml:space="preserve"> </w:t>
      </w:r>
      <w:r>
        <w:t xml:space="preserve">enzymes across the monoaminergic, opioid, cannabinoid, histaminergic, adenosine, purinergic,</w:t>
      </w:r>
      <w:r>
        <w:t xml:space="preserve"> </w:t>
      </w:r>
      <w:r>
        <w:t xml:space="preserve">glutamatergic and nicotinic systems, each validated against compounds experimentally tested at that</w:t>
      </w:r>
      <w:r>
        <w:t xml:space="preserve"> </w:t>
      </w:r>
      <w:r>
        <w:t xml:space="preserve">target and found inactive, never against property-matched decoys. The rationale for each therapeutic</w:t>
      </w:r>
      <w:r>
        <w:t xml:space="preserve"> </w:t>
      </w:r>
      <w:r>
        <w:t xml:space="preserve">axis is set out in the manuscript’s Methods section (</w:t>
      </w:r>
      <w:r>
        <w:t xml:space="preserve">“Endpoint selection”</w:t>
      </w:r>
      <w:r>
        <w:t xml:space="preserve">) and is not repeated in</w:t>
      </w:r>
      <w:r>
        <w:t xml:space="preserve"> </w:t>
      </w:r>
      <w:r>
        <w:t xml:space="preserve">full here to avoid the two documents drifting apart; this document’s job is the table a reviewer</w:t>
      </w:r>
      <w:r>
        <w:t xml:space="preserve"> </w:t>
      </w:r>
      <w:r>
        <w:t xml:space="preserve">asked for: every endpoint, its training size, and its deployment status, in one place.</w:t>
      </w:r>
    </w:p>
    <w:bookmarkEnd w:id="18"/>
    <w:bookmarkStart w:id="19" w:name="the-exposure-and-adme-layer-10-endpoints"/>
    <w:p>
      <w:pPr>
        <w:pStyle w:val="Heading2"/>
      </w:pPr>
      <w:r>
        <w:t xml:space="preserve">2. The exposure and ADME layer (10 endpoints)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Endpoint</w:t>
            </w:r>
          </w:p>
        </w:tc>
        <w:tc>
          <w:tcPr/>
          <w:p>
            <w:pPr>
              <w:pStyle w:val="Compact"/>
            </w:pPr>
            <w:r>
              <w:t xml:space="preserve">Task</w:t>
            </w:r>
          </w:p>
        </w:tc>
        <w:tc>
          <w:tcPr/>
          <w:p>
            <w:pPr>
              <w:pStyle w:val="Compact"/>
            </w:pPr>
            <w:r>
              <w:t xml:space="preserve">Training compounds</w:t>
            </w:r>
          </w:p>
        </w:tc>
        <w:tc>
          <w:tcPr/>
          <w:p>
            <w:pPr>
              <w:pStyle w:val="Compact"/>
            </w:pPr>
            <w:r>
              <w:t xml:space="preserve">Deployed</w:t>
            </w:r>
          </w:p>
        </w:tc>
      </w:tr>
      <w:tr>
        <w:tc>
          <w:tcPr/>
          <w:p>
            <w:pPr>
              <w:pStyle w:val="Compact"/>
            </w:pPr>
            <w:r>
              <w:t xml:space="preserve">BBB</w:t>
            </w:r>
          </w:p>
        </w:tc>
        <w:tc>
          <w:tcPr/>
          <w:p>
            <w:pPr>
              <w:pStyle w:val="Compact"/>
            </w:pPr>
            <w:r>
              <w:t xml:space="preserve">classification</w:t>
            </w:r>
          </w:p>
        </w:tc>
        <w:tc>
          <w:tcPr/>
          <w:p>
            <w:pPr>
              <w:pStyle w:val="Compact"/>
            </w:pPr>
            <w:r>
              <w:t xml:space="preserve">3,901</w:t>
            </w:r>
          </w:p>
        </w:tc>
        <w:tc>
          <w:tcPr/>
          <w:p>
            <w:pPr>
              <w:pStyle w:val="Compact"/>
            </w:pPr>
            <w:r>
              <w:t xml:space="preserve">yes</w:t>
            </w:r>
          </w:p>
        </w:tc>
      </w:tr>
      <w:tr>
        <w:tc>
          <w:tcPr/>
          <w:p>
            <w:pPr>
              <w:pStyle w:val="Compact"/>
            </w:pPr>
            <w:r>
              <w:t xml:space="preserve">caco2_permeability</w:t>
            </w:r>
          </w:p>
        </w:tc>
        <w:tc>
          <w:tcPr/>
          <w:p>
            <w:pPr>
              <w:pStyle w:val="Compact"/>
            </w:pPr>
            <w:r>
              <w:t xml:space="preserve">regression</w:t>
            </w:r>
          </w:p>
        </w:tc>
        <w:tc>
          <w:tcPr/>
          <w:p>
            <w:pPr>
              <w:pStyle w:val="Compact"/>
            </w:pPr>
            <w:r>
              <w:t xml:space="preserve">897</w:t>
            </w:r>
          </w:p>
        </w:tc>
        <w:tc>
          <w:tcPr/>
          <w:p>
            <w:pPr>
              <w:pStyle w:val="Compact"/>
            </w:pPr>
            <w:r>
              <w:t xml:space="preserve">yes</w:t>
            </w:r>
          </w:p>
        </w:tc>
      </w:tr>
      <w:tr>
        <w:tc>
          <w:tcPr/>
          <w:p>
            <w:pPr>
              <w:pStyle w:val="Compact"/>
            </w:pPr>
            <w:r>
              <w:t xml:space="preserve">clearance_hepatocyte</w:t>
            </w:r>
          </w:p>
        </w:tc>
        <w:tc>
          <w:tcPr/>
          <w:p>
            <w:pPr>
              <w:pStyle w:val="Compact"/>
            </w:pPr>
            <w:r>
              <w:t xml:space="preserve">regression</w:t>
            </w:r>
          </w:p>
        </w:tc>
        <w:tc>
          <w:tcPr/>
          <w:p>
            <w:pPr>
              <w:pStyle w:val="Compact"/>
            </w:pPr>
            <w:r>
              <w:t xml:space="preserve">1,020</w:t>
            </w:r>
          </w:p>
        </w:tc>
        <w:tc>
          <w:tcPr/>
          <w:p>
            <w:pPr>
              <w:pStyle w:val="Compact"/>
            </w:pPr>
            <w:r>
              <w:t xml:space="preserve">yes</w:t>
            </w:r>
          </w:p>
        </w:tc>
      </w:tr>
      <w:tr>
        <w:tc>
          <w:tcPr/>
          <w:p>
            <w:pPr>
              <w:pStyle w:val="Compact"/>
            </w:pPr>
            <w:r>
              <w:t xml:space="preserve">kpuu</w:t>
            </w:r>
          </w:p>
        </w:tc>
        <w:tc>
          <w:tcPr/>
          <w:p>
            <w:pPr>
              <w:pStyle w:val="Compact"/>
            </w:pPr>
            <w:r>
              <w:t xml:space="preserve">regression</w:t>
            </w:r>
          </w:p>
        </w:tc>
        <w:tc>
          <w:tcPr/>
          <w:p>
            <w:pPr>
              <w:pStyle w:val="Compact"/>
            </w:pPr>
            <w:r>
              <w:t xml:space="preserve">566</w:t>
            </w:r>
          </w:p>
        </w:tc>
        <w:tc>
          <w:tcPr/>
          <w:p>
            <w:pPr>
              <w:pStyle w:val="Compact"/>
            </w:pPr>
            <w:r>
              <w:t xml:space="preserve">yes</w:t>
            </w:r>
          </w:p>
        </w:tc>
      </w:tr>
      <w:tr>
        <w:tc>
          <w:tcPr/>
          <w:p>
            <w:pPr>
              <w:pStyle w:val="Compact"/>
            </w:pPr>
            <w:r>
              <w:t xml:space="preserve">lipophilicity</w:t>
            </w:r>
          </w:p>
        </w:tc>
        <w:tc>
          <w:tcPr/>
          <w:p>
            <w:pPr>
              <w:pStyle w:val="Compact"/>
            </w:pPr>
            <w:r>
              <w:t xml:space="preserve">regression</w:t>
            </w:r>
          </w:p>
        </w:tc>
        <w:tc>
          <w:tcPr/>
          <w:p>
            <w:pPr>
              <w:pStyle w:val="Compact"/>
            </w:pPr>
            <w:r>
              <w:t xml:space="preserve">4,200</w:t>
            </w:r>
          </w:p>
        </w:tc>
        <w:tc>
          <w:tcPr/>
          <w:p>
            <w:pPr>
              <w:pStyle w:val="Compact"/>
            </w:pPr>
            <w:r>
              <w:t xml:space="preserve">yes</w:t>
            </w:r>
          </w:p>
        </w:tc>
      </w:tr>
      <w:tr>
        <w:tc>
          <w:tcPr/>
          <w:p>
            <w:pPr>
              <w:pStyle w:val="Compact"/>
            </w:pPr>
            <w:r>
              <w:t xml:space="preserve">logbb</w:t>
            </w:r>
          </w:p>
        </w:tc>
        <w:tc>
          <w:tcPr/>
          <w:p>
            <w:pPr>
              <w:pStyle w:val="Compact"/>
            </w:pPr>
            <w:r>
              <w:t xml:space="preserve">regression</w:t>
            </w:r>
          </w:p>
        </w:tc>
        <w:tc>
          <w:tcPr/>
          <w:p>
            <w:pPr>
              <w:pStyle w:val="Compact"/>
            </w:pPr>
            <w:r>
              <w:t xml:space="preserve">1,058</w:t>
            </w:r>
          </w:p>
        </w:tc>
        <w:tc>
          <w:tcPr/>
          <w:p>
            <w:pPr>
              <w:pStyle w:val="Compact"/>
            </w:pPr>
            <w:r>
              <w:t xml:space="preserve">yes</w:t>
            </w:r>
          </w:p>
        </w:tc>
      </w:tr>
      <w:tr>
        <w:tc>
          <w:tcPr/>
          <w:p>
            <w:pPr>
              <w:pStyle w:val="Compact"/>
            </w:pPr>
            <w:r>
              <w:t xml:space="preserve">pgp_inhibition</w:t>
            </w:r>
          </w:p>
        </w:tc>
        <w:tc>
          <w:tcPr/>
          <w:p>
            <w:pPr>
              <w:pStyle w:val="Compact"/>
            </w:pPr>
            <w:r>
              <w:t xml:space="preserve">classification</w:t>
            </w:r>
          </w:p>
        </w:tc>
        <w:tc>
          <w:tcPr/>
          <w:p>
            <w:pPr>
              <w:pStyle w:val="Compact"/>
            </w:pPr>
            <w:r>
              <w:t xml:space="preserve">1,212</w:t>
            </w:r>
          </w:p>
        </w:tc>
        <w:tc>
          <w:tcPr/>
          <w:p>
            <w:pPr>
              <w:pStyle w:val="Compact"/>
            </w:pPr>
            <w:r>
              <w:t xml:space="preserve">yes</w:t>
            </w:r>
          </w:p>
        </w:tc>
      </w:tr>
      <w:tr>
        <w:tc>
          <w:tcPr/>
          <w:p>
            <w:pPr>
              <w:pStyle w:val="Compact"/>
            </w:pPr>
            <w:r>
              <w:t xml:space="preserve">pgp_substrate</w:t>
            </w:r>
          </w:p>
        </w:tc>
        <w:tc>
          <w:tcPr/>
          <w:p>
            <w:pPr>
              <w:pStyle w:val="Compact"/>
            </w:pPr>
            <w:r>
              <w:t xml:space="preserve">classification</w:t>
            </w:r>
          </w:p>
        </w:tc>
        <w:tc>
          <w:tcPr/>
          <w:p>
            <w:pPr>
              <w:pStyle w:val="Compact"/>
            </w:pPr>
            <w:r>
              <w:t xml:space="preserve">1,371</w:t>
            </w:r>
          </w:p>
        </w:tc>
        <w:tc>
          <w:tcPr/>
          <w:p>
            <w:pPr>
              <w:pStyle w:val="Compact"/>
            </w:pPr>
            <w:r>
              <w:t xml:space="preserve">yes</w:t>
            </w:r>
          </w:p>
        </w:tc>
      </w:tr>
      <w:tr>
        <w:tc>
          <w:tcPr/>
          <w:p>
            <w:pPr>
              <w:pStyle w:val="Compact"/>
            </w:pPr>
            <w:r>
              <w:t xml:space="preserve">plasma_protein_binding</w:t>
            </w:r>
          </w:p>
        </w:tc>
        <w:tc>
          <w:tcPr/>
          <w:p>
            <w:pPr>
              <w:pStyle w:val="Compact"/>
            </w:pPr>
            <w:r>
              <w:t xml:space="preserve">regression</w:t>
            </w:r>
          </w:p>
        </w:tc>
        <w:tc>
          <w:tcPr/>
          <w:p>
            <w:pPr>
              <w:pStyle w:val="Compact"/>
            </w:pPr>
            <w:r>
              <w:t xml:space="preserve">1,797</w:t>
            </w:r>
          </w:p>
        </w:tc>
        <w:tc>
          <w:tcPr/>
          <w:p>
            <w:pPr>
              <w:pStyle w:val="Compact"/>
            </w:pPr>
            <w:r>
              <w:t xml:space="preserve">yes</w:t>
            </w:r>
          </w:p>
        </w:tc>
      </w:tr>
      <w:tr>
        <w:tc>
          <w:tcPr/>
          <w:p>
            <w:pPr>
              <w:pStyle w:val="Compact"/>
            </w:pPr>
            <w:r>
              <w:t xml:space="preserve">solubility</w:t>
            </w:r>
          </w:p>
        </w:tc>
        <w:tc>
          <w:tcPr/>
          <w:p>
            <w:pPr>
              <w:pStyle w:val="Compact"/>
            </w:pPr>
            <w:r>
              <w:t xml:space="preserve">regression</w:t>
            </w:r>
          </w:p>
        </w:tc>
        <w:tc>
          <w:tcPr/>
          <w:p>
            <w:pPr>
              <w:pStyle w:val="Compact"/>
            </w:pPr>
            <w:r>
              <w:t xml:space="preserve">9,573</w:t>
            </w:r>
          </w:p>
        </w:tc>
        <w:tc>
          <w:tcPr/>
          <w:p>
            <w:pPr>
              <w:pStyle w:val="Compact"/>
            </w:pPr>
            <w:r>
              <w:t xml:space="preserve">yes</w:t>
            </w:r>
          </w:p>
        </w:tc>
      </w:tr>
    </w:tbl>
    <w:p>
      <w:pPr>
        <w:pStyle w:val="BodyText"/>
      </w:pPr>
      <w:r>
        <w:t xml:space="preserve">Blood-brain barrier penetration is modelled first among these because it gates every downstream</w:t>
      </w:r>
      <w:r>
        <w:t xml:space="preserve"> </w:t>
      </w:r>
      <w:r>
        <w:t xml:space="preserve">target score: a target score is admitted only in proportion to predicted exposure, so potency at a</w:t>
      </w:r>
      <w:r>
        <w:t xml:space="preserve"> </w:t>
      </w:r>
      <w:r>
        <w:t xml:space="preserve">target the compound cannot reach contributes nothing to the server’s output. The remaining nine</w:t>
      </w:r>
      <w:r>
        <w:t xml:space="preserve"> </w:t>
      </w:r>
      <w:r>
        <w:t xml:space="preserve">endpoints (Caco-2 permeability, hepatocyte clearance, unbound brain-to-plasma ratio, lipophilicity,</w:t>
      </w:r>
      <w:r>
        <w:t xml:space="preserve"> </w:t>
      </w:r>
      <w:r>
        <w:t xml:space="preserve">logBB, P-glycoprotein inhibition and substrate status, plasma-protein binding, and aqueous</w:t>
      </w:r>
      <w:r>
        <w:t xml:space="preserve"> </w:t>
      </w:r>
      <w:r>
        <w:t xml:space="preserve">solubility) cover developability, the fourth of the four questions in section 1.</w:t>
      </w:r>
    </w:p>
    <w:bookmarkEnd w:id="19"/>
    <w:bookmarkStart w:id="20" w:name="X06f9d5ef678e39155e3cd84eafd977d5ad409a7"/>
    <w:p>
      <w:pPr>
        <w:pStyle w:val="Heading2"/>
      </w:pPr>
      <w:r>
        <w:t xml:space="preserve">3. Core target-potency and activity endpoints (12)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Endpoint</w:t>
            </w:r>
          </w:p>
        </w:tc>
        <w:tc>
          <w:tcPr/>
          <w:p>
            <w:pPr>
              <w:pStyle w:val="Compact"/>
            </w:pPr>
            <w:r>
              <w:t xml:space="preserve">Task</w:t>
            </w:r>
          </w:p>
        </w:tc>
        <w:tc>
          <w:tcPr/>
          <w:p>
            <w:pPr>
              <w:pStyle w:val="Compact"/>
            </w:pPr>
            <w:r>
              <w:t xml:space="preserve">Training compounds</w:t>
            </w:r>
          </w:p>
        </w:tc>
        <w:tc>
          <w:tcPr/>
          <w:p>
            <w:pPr>
              <w:pStyle w:val="Compact"/>
            </w:pPr>
            <w:r>
              <w:t xml:space="preserve">Deployed</w:t>
            </w:r>
          </w:p>
        </w:tc>
      </w:tr>
      <w:tr>
        <w:tc>
          <w:tcPr/>
          <w:p>
            <w:pPr>
              <w:pStyle w:val="Compact"/>
            </w:pPr>
            <w:r>
              <w:t xml:space="preserve">A2A</w:t>
            </w:r>
          </w:p>
        </w:tc>
        <w:tc>
          <w:tcPr/>
          <w:p>
            <w:pPr>
              <w:pStyle w:val="Compact"/>
            </w:pPr>
            <w:r>
              <w:t xml:space="preserve">regression</w:t>
            </w:r>
          </w:p>
        </w:tc>
        <w:tc>
          <w:tcPr/>
          <w:p>
            <w:pPr>
              <w:pStyle w:val="Compact"/>
            </w:pPr>
            <w:r>
              <w:t xml:space="preserve">6,743</w:t>
            </w:r>
          </w:p>
        </w:tc>
        <w:tc>
          <w:tcPr/>
          <w:p>
            <w:pPr>
              <w:pStyle w:val="Compact"/>
            </w:pPr>
            <w:r>
              <w:t xml:space="preserve">yes</w:t>
            </w:r>
          </w:p>
        </w:tc>
      </w:tr>
      <w:tr>
        <w:tc>
          <w:tcPr/>
          <w:p>
            <w:pPr>
              <w:pStyle w:val="Compact"/>
            </w:pPr>
            <w:r>
              <w:t xml:space="preserve">AChE</w:t>
            </w:r>
          </w:p>
        </w:tc>
        <w:tc>
          <w:tcPr/>
          <w:p>
            <w:pPr>
              <w:pStyle w:val="Compact"/>
            </w:pPr>
            <w:r>
              <w:t xml:space="preserve">classification</w:t>
            </w:r>
          </w:p>
        </w:tc>
        <w:tc>
          <w:tcPr/>
          <w:p>
            <w:pPr>
              <w:pStyle w:val="Compact"/>
            </w:pPr>
            <w:r>
              <w:t xml:space="preserve">5,125</w:t>
            </w:r>
          </w:p>
        </w:tc>
        <w:tc>
          <w:tcPr/>
          <w:p>
            <w:pPr>
              <w:pStyle w:val="Compact"/>
            </w:pPr>
            <w:r>
              <w:t xml:space="preserve">yes</w:t>
            </w:r>
          </w:p>
        </w:tc>
      </w:tr>
      <w:tr>
        <w:tc>
          <w:tcPr/>
          <w:p>
            <w:pPr>
              <w:pStyle w:val="Compact"/>
            </w:pPr>
            <w:r>
              <w:t xml:space="preserve">BACE1</w:t>
            </w:r>
          </w:p>
        </w:tc>
        <w:tc>
          <w:tcPr/>
          <w:p>
            <w:pPr>
              <w:pStyle w:val="Compact"/>
            </w:pPr>
            <w:r>
              <w:t xml:space="preserve">classification</w:t>
            </w:r>
          </w:p>
        </w:tc>
        <w:tc>
          <w:tcPr/>
          <w:p>
            <w:pPr>
              <w:pStyle w:val="Compact"/>
            </w:pPr>
            <w:r>
              <w:t xml:space="preserve">8,207</w:t>
            </w:r>
          </w:p>
        </w:tc>
        <w:tc>
          <w:tcPr/>
          <w:p>
            <w:pPr>
              <w:pStyle w:val="Compact"/>
            </w:pPr>
            <w:r>
              <w:t xml:space="preserve">yes</w:t>
            </w:r>
          </w:p>
        </w:tc>
      </w:tr>
      <w:tr>
        <w:tc>
          <w:tcPr/>
          <w:p>
            <w:pPr>
              <w:pStyle w:val="Compact"/>
            </w:pPr>
            <w:r>
              <w:t xml:space="preserve">BChE</w:t>
            </w:r>
          </w:p>
        </w:tc>
        <w:tc>
          <w:tcPr/>
          <w:p>
            <w:pPr>
              <w:pStyle w:val="Compact"/>
            </w:pPr>
            <w:r>
              <w:t xml:space="preserve">classification</w:t>
            </w:r>
          </w:p>
        </w:tc>
        <w:tc>
          <w:tcPr/>
          <w:p>
            <w:pPr>
              <w:pStyle w:val="Compact"/>
            </w:pPr>
            <w:r>
              <w:t xml:space="preserve">3,278</w:t>
            </w:r>
          </w:p>
        </w:tc>
        <w:tc>
          <w:tcPr/>
          <w:p>
            <w:pPr>
              <w:pStyle w:val="Compact"/>
            </w:pPr>
            <w:r>
              <w:t xml:space="preserve">yes</w:t>
            </w:r>
          </w:p>
        </w:tc>
      </w:tr>
      <w:tr>
        <w:tc>
          <w:tcPr/>
          <w:p>
            <w:pPr>
              <w:pStyle w:val="Compact"/>
            </w:pPr>
            <w:r>
              <w:t xml:space="preserve">D2</w:t>
            </w:r>
          </w:p>
        </w:tc>
        <w:tc>
          <w:tcPr/>
          <w:p>
            <w:pPr>
              <w:pStyle w:val="Compact"/>
            </w:pPr>
            <w:r>
              <w:t xml:space="preserve">regression</w:t>
            </w:r>
          </w:p>
        </w:tc>
        <w:tc>
          <w:tcPr/>
          <w:p>
            <w:pPr>
              <w:pStyle w:val="Compact"/>
            </w:pPr>
            <w:r>
              <w:t xml:space="preserve">7,905</w:t>
            </w:r>
          </w:p>
        </w:tc>
        <w:tc>
          <w:tcPr/>
          <w:p>
            <w:pPr>
              <w:pStyle w:val="Compact"/>
            </w:pPr>
            <w:r>
              <w:t xml:space="preserve">yes</w:t>
            </w:r>
          </w:p>
        </w:tc>
      </w:tr>
      <w:tr>
        <w:tc>
          <w:tcPr/>
          <w:p>
            <w:pPr>
              <w:pStyle w:val="Compact"/>
            </w:pPr>
            <w:r>
              <w:t xml:space="preserve">GSK3B</w:t>
            </w:r>
          </w:p>
        </w:tc>
        <w:tc>
          <w:tcPr/>
          <w:p>
            <w:pPr>
              <w:pStyle w:val="Compact"/>
            </w:pPr>
            <w:r>
              <w:t xml:space="preserve">classification</w:t>
            </w:r>
          </w:p>
        </w:tc>
        <w:tc>
          <w:tcPr/>
          <w:p>
            <w:pPr>
              <w:pStyle w:val="Compact"/>
            </w:pPr>
            <w:r>
              <w:t xml:space="preserve">5,439</w:t>
            </w:r>
          </w:p>
        </w:tc>
        <w:tc>
          <w:tcPr/>
          <w:p>
            <w:pPr>
              <w:pStyle w:val="Compact"/>
            </w:pPr>
            <w:r>
              <w:t xml:space="preserve">yes</w:t>
            </w:r>
          </w:p>
        </w:tc>
      </w:tr>
      <w:tr>
        <w:tc>
          <w:tcPr/>
          <w:p>
            <w:pPr>
              <w:pStyle w:val="Compact"/>
            </w:pPr>
            <w:r>
              <w:t xml:space="preserve">HT2A</w:t>
            </w:r>
          </w:p>
        </w:tc>
        <w:tc>
          <w:tcPr/>
          <w:p>
            <w:pPr>
              <w:pStyle w:val="Compact"/>
            </w:pPr>
            <w:r>
              <w:t xml:space="preserve">regression</w:t>
            </w:r>
          </w:p>
        </w:tc>
        <w:tc>
          <w:tcPr/>
          <w:p>
            <w:pPr>
              <w:pStyle w:val="Compact"/>
            </w:pPr>
            <w:r>
              <w:t xml:space="preserve">6,075</w:t>
            </w:r>
          </w:p>
        </w:tc>
        <w:tc>
          <w:tcPr/>
          <w:p>
            <w:pPr>
              <w:pStyle w:val="Compact"/>
            </w:pPr>
            <w:r>
              <w:t xml:space="preserve">yes</w:t>
            </w:r>
          </w:p>
        </w:tc>
      </w:tr>
      <w:tr>
        <w:tc>
          <w:tcPr/>
          <w:p>
            <w:pPr>
              <w:pStyle w:val="Compact"/>
            </w:pPr>
            <w:r>
              <w:t xml:space="preserve">MAO_A</w:t>
            </w:r>
          </w:p>
        </w:tc>
        <w:tc>
          <w:tcPr/>
          <w:p>
            <w:pPr>
              <w:pStyle w:val="Compact"/>
            </w:pPr>
            <w:r>
              <w:t xml:space="preserve">classification</w:t>
            </w:r>
          </w:p>
        </w:tc>
        <w:tc>
          <w:tcPr/>
          <w:p>
            <w:pPr>
              <w:pStyle w:val="Compact"/>
            </w:pPr>
            <w:r>
              <w:t xml:space="preserve">3,585</w:t>
            </w:r>
          </w:p>
        </w:tc>
        <w:tc>
          <w:tcPr/>
          <w:p>
            <w:pPr>
              <w:pStyle w:val="Compact"/>
            </w:pPr>
            <w:r>
              <w:t xml:space="preserve">yes</w:t>
            </w:r>
          </w:p>
        </w:tc>
      </w:tr>
      <w:tr>
        <w:tc>
          <w:tcPr/>
          <w:p>
            <w:pPr>
              <w:pStyle w:val="Compact"/>
            </w:pPr>
            <w:r>
              <w:t xml:space="preserve">MAO_B</w:t>
            </w:r>
          </w:p>
        </w:tc>
        <w:tc>
          <w:tcPr/>
          <w:p>
            <w:pPr>
              <w:pStyle w:val="Compact"/>
            </w:pPr>
            <w:r>
              <w:t xml:space="preserve">classification</w:t>
            </w:r>
          </w:p>
        </w:tc>
        <w:tc>
          <w:tcPr/>
          <w:p>
            <w:pPr>
              <w:pStyle w:val="Compact"/>
            </w:pPr>
            <w:r>
              <w:t xml:space="preserve">4,534</w:t>
            </w:r>
          </w:p>
        </w:tc>
        <w:tc>
          <w:tcPr/>
          <w:p>
            <w:pPr>
              <w:pStyle w:val="Compact"/>
            </w:pPr>
            <w:r>
              <w:t xml:space="preserve">yes</w:t>
            </w:r>
          </w:p>
        </w:tc>
      </w:tr>
      <w:tr>
        <w:tc>
          <w:tcPr/>
          <w:p>
            <w:pPr>
              <w:pStyle w:val="Compact"/>
            </w:pPr>
            <w:r>
              <w:t xml:space="preserve">SERT</w:t>
            </w:r>
          </w:p>
        </w:tc>
        <w:tc>
          <w:tcPr/>
          <w:p>
            <w:pPr>
              <w:pStyle w:val="Compact"/>
            </w:pPr>
            <w:r>
              <w:t xml:space="preserve">regression</w:t>
            </w:r>
          </w:p>
        </w:tc>
        <w:tc>
          <w:tcPr/>
          <w:p>
            <w:pPr>
              <w:pStyle w:val="Compact"/>
            </w:pPr>
            <w:r>
              <w:t xml:space="preserve">4,479</w:t>
            </w:r>
          </w:p>
        </w:tc>
        <w:tc>
          <w:tcPr/>
          <w:p>
            <w:pPr>
              <w:pStyle w:val="Compact"/>
            </w:pPr>
            <w:r>
              <w:t xml:space="preserve">yes</w:t>
            </w:r>
          </w:p>
        </w:tc>
      </w:tr>
      <w:tr>
        <w:tc>
          <w:tcPr/>
          <w:p>
            <w:pPr>
              <w:pStyle w:val="Compact"/>
            </w:pPr>
            <w:r>
              <w:t xml:space="preserve">antioxidant_DPPH</w:t>
            </w:r>
          </w:p>
        </w:tc>
        <w:tc>
          <w:tcPr/>
          <w:p>
            <w:pPr>
              <w:pStyle w:val="Compact"/>
            </w:pPr>
            <w:r>
              <w:t xml:space="preserve">regression</w:t>
            </w:r>
          </w:p>
        </w:tc>
        <w:tc>
          <w:tcPr/>
          <w:p>
            <w:pPr>
              <w:pStyle w:val="Compact"/>
            </w:pPr>
            <w:r>
              <w:t xml:space="preserve">2,782</w:t>
            </w:r>
          </w:p>
        </w:tc>
        <w:tc>
          <w:tcPr/>
          <w:p>
            <w:pPr>
              <w:pStyle w:val="Compact"/>
            </w:pPr>
            <w:r>
              <w:t xml:space="preserve">yes</w:t>
            </w:r>
          </w:p>
        </w:tc>
      </w:tr>
      <w:tr>
        <w:tc>
          <w:tcPr/>
          <w:p>
            <w:pPr>
              <w:pStyle w:val="Compact"/>
            </w:pPr>
            <w:r>
              <w:t xml:space="preserve">pka_basic</w:t>
            </w:r>
          </w:p>
        </w:tc>
        <w:tc>
          <w:tcPr/>
          <w:p>
            <w:pPr>
              <w:pStyle w:val="Compact"/>
            </w:pPr>
            <w:r>
              <w:t xml:space="preserve">regression</w:t>
            </w:r>
          </w:p>
        </w:tc>
        <w:tc>
          <w:tcPr/>
          <w:p>
            <w:pPr>
              <w:pStyle w:val="Compact"/>
            </w:pPr>
            <w:r>
              <w:t xml:space="preserve">6,384</w:t>
            </w:r>
          </w:p>
        </w:tc>
        <w:tc>
          <w:tcPr/>
          <w:p>
            <w:pPr>
              <w:pStyle w:val="Compact"/>
            </w:pPr>
            <w:r>
              <w:t xml:space="preserve">yes</w:t>
            </w:r>
          </w:p>
        </w:tc>
      </w:tr>
    </w:tbl>
    <w:p>
      <w:pPr>
        <w:pStyle w:val="BodyText"/>
      </w:pPr>
      <w:r>
        <w:rPr>
          <w:rStyle w:val="VerbatimChar"/>
        </w:rPr>
        <w:t xml:space="preserve">antioxidant_DPPH</w:t>
      </w:r>
      <w:r>
        <w:t xml:space="preserve"> </w:t>
      </w:r>
      <w:r>
        <w:t xml:space="preserve">and</w:t>
      </w:r>
      <w:r>
        <w:t xml:space="preserve"> </w:t>
      </w:r>
      <w:r>
        <w:rPr>
          <w:rStyle w:val="VerbatimChar"/>
        </w:rPr>
        <w:t xml:space="preserve">pka_basic</w:t>
      </w:r>
      <w:r>
        <w:t xml:space="preserve"> </w:t>
      </w:r>
      <w:r>
        <w:t xml:space="preserve">are carried in this family for training-pipeline reasons (a</w:t>
      </w:r>
      <w:r>
        <w:t xml:space="preserve"> </w:t>
      </w:r>
      <w:r>
        <w:t xml:space="preserve">measured chemical property and a physicochemical property, respectively) rather than as</w:t>
      </w:r>
      <w:r>
        <w:t xml:space="preserve"> </w:t>
      </w:r>
      <w:r>
        <w:t xml:space="preserve">target-engagement calls, and are described as auxiliary endpoints in the manuscript’s architecture</w:t>
      </w:r>
      <w:r>
        <w:t xml:space="preserve"> </w:t>
      </w:r>
      <w:r>
        <w:t xml:space="preserve">figure.</w:t>
      </w:r>
    </w:p>
    <w:bookmarkEnd w:id="20"/>
    <w:bookmarkStart w:id="21" w:name="safety"/>
    <w:p>
      <w:pPr>
        <w:pStyle w:val="Heading2"/>
      </w:pPr>
      <w:r>
        <w:t xml:space="preserve">4. Safety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Endpoint</w:t>
            </w:r>
          </w:p>
        </w:tc>
        <w:tc>
          <w:tcPr/>
          <w:p>
            <w:pPr>
              <w:pStyle w:val="Compact"/>
            </w:pPr>
            <w:r>
              <w:t xml:space="preserve">Task</w:t>
            </w:r>
          </w:p>
        </w:tc>
        <w:tc>
          <w:tcPr/>
          <w:p>
            <w:pPr>
              <w:pStyle w:val="Compact"/>
            </w:pPr>
            <w:r>
              <w:t xml:space="preserve">Training compounds</w:t>
            </w:r>
          </w:p>
        </w:tc>
        <w:tc>
          <w:tcPr/>
          <w:p>
            <w:pPr>
              <w:pStyle w:val="Compact"/>
            </w:pPr>
            <w:r>
              <w:t xml:space="preserve">Deployed</w:t>
            </w:r>
          </w:p>
        </w:tc>
      </w:tr>
      <w:tr>
        <w:tc>
          <w:tcPr/>
          <w:p>
            <w:pPr>
              <w:pStyle w:val="Compact"/>
            </w:pPr>
            <w:r>
              <w:t xml:space="preserve">hERG</w:t>
            </w:r>
          </w:p>
        </w:tc>
        <w:tc>
          <w:tcPr/>
          <w:p>
            <w:pPr>
              <w:pStyle w:val="Compact"/>
            </w:pPr>
            <w:r>
              <w:t xml:space="preserve">classification</w:t>
            </w:r>
          </w:p>
        </w:tc>
        <w:tc>
          <w:tcPr/>
          <w:p>
            <w:pPr>
              <w:pStyle w:val="Compact"/>
            </w:pPr>
            <w:r>
              <w:t xml:space="preserve">9,933</w:t>
            </w:r>
          </w:p>
        </w:tc>
        <w:tc>
          <w:tcPr/>
          <w:p>
            <w:pPr>
              <w:pStyle w:val="Compact"/>
            </w:pPr>
            <w:r>
              <w:t xml:space="preserve">yes</w:t>
            </w:r>
          </w:p>
        </w:tc>
      </w:tr>
    </w:tbl>
    <w:p>
      <w:pPr>
        <w:pStyle w:val="BodyText"/>
      </w:pPr>
      <w:r>
        <w:t xml:space="preserve">hERG blockade is the dominant cardiac-safety flag in CNS drug discovery and a standard early</w:t>
      </w:r>
      <w:r>
        <w:t xml:space="preserve"> </w:t>
      </w:r>
      <w:r>
        <w:t xml:space="preserve">counter-screen; it is reported here rather than folded into the target-engagement count because a</w:t>
      </w:r>
      <w:r>
        <w:t xml:space="preserve"> </w:t>
      </w:r>
      <w:r>
        <w:t xml:space="preserve">liability, not a mechanism, is what it answers.</w:t>
      </w:r>
    </w:p>
    <w:bookmarkEnd w:id="21"/>
    <w:bookmarkStart w:id="22" w:name="X8ed5590a9ad9f22b54142b6e17b541014243cb9"/>
    <w:p>
      <w:pPr>
        <w:pStyle w:val="Heading2"/>
      </w:pPr>
      <w:r>
        <w:t xml:space="preserve">5. The binder panel (52 endpoints, 47 deployed)</w:t>
      </w:r>
    </w:p>
    <w:p>
      <w:pPr>
        <w:pStyle w:val="FirstParagraph"/>
      </w:pPr>
      <w:r>
        <w:t xml:space="preserve">Each binder classifier answers</w:t>
      </w:r>
      <w:r>
        <w:t xml:space="preserve"> </w:t>
      </w:r>
      <w:r>
        <w:t xml:space="preserve">“does this compound bind this target,”</w:t>
      </w:r>
      <w:r>
        <w:t xml:space="preserve"> </w:t>
      </w:r>
      <w:r>
        <w:t xml:space="preserve">validated on compounds</w:t>
      </w:r>
      <w:r>
        <w:t xml:space="preserve"> </w:t>
      </w:r>
      <w:r>
        <w:t xml:space="preserve">experimentally tested at that target and found inactive rather than on property-matched decoys, at a</w:t>
      </w:r>
      <w:r>
        <w:t xml:space="preserve"> </w:t>
      </w:r>
      <w:r>
        <w:t xml:space="preserve">threshold constrained simultaneously by held-out measured inactives and by the false-positive rate on</w:t>
      </w:r>
      <w:r>
        <w:t xml:space="preserve"> </w:t>
      </w:r>
      <w:r>
        <w:t xml:space="preserve">a disjoint pool of unrelated chemistry (</w:t>
      </w:r>
      <w:r>
        <w:rPr>
          <w:rStyle w:val="VerbatimChar"/>
        </w:rPr>
        <w:t xml:space="preserve">results/tables/background_specificity_disjoint.csv</w:t>
      </w:r>
      <w:r>
        <w:t xml:space="preserve">). AUROC</w:t>
      </w:r>
      <w:r>
        <w:t xml:space="preserve"> </w:t>
      </w:r>
      <w:r>
        <w:t xml:space="preserve">and sensitivity below are both measured against the target’s own held-out measured inactives, by</w:t>
      </w:r>
      <w:r>
        <w:t xml:space="preserve"> </w:t>
      </w:r>
      <w:r>
        <w:t xml:space="preserve">scaffold.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Target</w:t>
            </w:r>
          </w:p>
        </w:tc>
        <w:tc>
          <w:tcPr/>
          <w:p>
            <w:pPr>
              <w:pStyle w:val="Compact"/>
            </w:pPr>
            <w:r>
              <w:t xml:space="preserve">Training compounds</w:t>
            </w:r>
          </w:p>
        </w:tc>
        <w:tc>
          <w:tcPr/>
          <w:p>
            <w:pPr>
              <w:pStyle w:val="Compact"/>
            </w:pPr>
            <w:r>
              <w:t xml:space="preserve">AUROC vs. measured inactives</w:t>
            </w:r>
          </w:p>
        </w:tc>
        <w:tc>
          <w:tcPr/>
          <w:p>
            <w:pPr>
              <w:pStyle w:val="Compact"/>
            </w:pPr>
            <w:r>
              <w:t xml:space="preserve">Sensitivity</w:t>
            </w:r>
          </w:p>
        </w:tc>
        <w:tc>
          <w:tcPr/>
          <w:p>
            <w:pPr>
              <w:pStyle w:val="Compact"/>
            </w:pPr>
            <w:r>
              <w:t xml:space="preserve">Status</w:t>
            </w:r>
          </w:p>
        </w:tc>
      </w:tr>
      <w:tr>
        <w:tc>
          <w:tcPr/>
          <w:p>
            <w:pPr>
              <w:pStyle w:val="Compact"/>
            </w:pPr>
            <w:r>
              <w:t xml:space="preserve">A1</w:t>
            </w:r>
          </w:p>
        </w:tc>
        <w:tc>
          <w:tcPr/>
          <w:p>
            <w:pPr>
              <w:pStyle w:val="Compact"/>
            </w:pPr>
            <w:r>
              <w:t xml:space="preserve">7,352</w:t>
            </w:r>
          </w:p>
        </w:tc>
        <w:tc>
          <w:tcPr/>
          <w:p>
            <w:pPr>
              <w:pStyle w:val="Compact"/>
            </w:pPr>
            <w:r>
              <w:t xml:space="preserve">0.914</w:t>
            </w:r>
          </w:p>
        </w:tc>
        <w:tc>
          <w:tcPr/>
          <w:p>
            <w:pPr>
              <w:pStyle w:val="Compact"/>
            </w:pPr>
            <w:r>
              <w:t xml:space="preserve">0.736</w:t>
            </w:r>
          </w:p>
        </w:tc>
        <w:tc>
          <w:tcPr/>
          <w:p>
            <w:pPr>
              <w:pStyle w:val="Compact"/>
            </w:pPr>
            <w:r>
              <w:t xml:space="preserve">deployed</w:t>
            </w:r>
          </w:p>
        </w:tc>
      </w:tr>
      <w:tr>
        <w:tc>
          <w:tcPr/>
          <w:p>
            <w:pPr>
              <w:pStyle w:val="Compact"/>
            </w:pPr>
            <w:r>
              <w:t xml:space="preserve">A2A</w:t>
            </w:r>
          </w:p>
        </w:tc>
        <w:tc>
          <w:tcPr/>
          <w:p>
            <w:pPr>
              <w:pStyle w:val="Compact"/>
            </w:pPr>
            <w:r>
              <w:t xml:space="preserve">15,636</w:t>
            </w:r>
          </w:p>
        </w:tc>
        <w:tc>
          <w:tcPr/>
          <w:p>
            <w:pPr>
              <w:pStyle w:val="Compact"/>
            </w:pPr>
            <w:r>
              <w:t xml:space="preserve">0.949</w:t>
            </w:r>
          </w:p>
        </w:tc>
        <w:tc>
          <w:tcPr/>
          <w:p>
            <w:pPr>
              <w:pStyle w:val="Compact"/>
            </w:pPr>
            <w:r>
              <w:t xml:space="preserve">0.824</w:t>
            </w:r>
          </w:p>
        </w:tc>
        <w:tc>
          <w:tcPr/>
          <w:p>
            <w:pPr>
              <w:pStyle w:val="Compact"/>
            </w:pPr>
            <w:r>
              <w:t xml:space="preserve">deployed</w:t>
            </w:r>
          </w:p>
        </w:tc>
      </w:tr>
      <w:tr>
        <w:tc>
          <w:tcPr/>
          <w:p>
            <w:pPr>
              <w:pStyle w:val="Compact"/>
            </w:pPr>
            <w:r>
              <w:t xml:space="preserve">CB1</w:t>
            </w:r>
          </w:p>
        </w:tc>
        <w:tc>
          <w:tcPr/>
          <w:p>
            <w:pPr>
              <w:pStyle w:val="Compact"/>
            </w:pPr>
            <w:r>
              <w:t xml:space="preserve">10,198</w:t>
            </w:r>
          </w:p>
        </w:tc>
        <w:tc>
          <w:tcPr/>
          <w:p>
            <w:pPr>
              <w:pStyle w:val="Compact"/>
            </w:pPr>
            <w:r>
              <w:t xml:space="preserve">0.949</w:t>
            </w:r>
          </w:p>
        </w:tc>
        <w:tc>
          <w:tcPr/>
          <w:p>
            <w:pPr>
              <w:pStyle w:val="Compact"/>
            </w:pPr>
            <w:r>
              <w:t xml:space="preserve">0.862</w:t>
            </w:r>
          </w:p>
        </w:tc>
        <w:tc>
          <w:tcPr/>
          <w:p>
            <w:pPr>
              <w:pStyle w:val="Compact"/>
            </w:pPr>
            <w:r>
              <w:t xml:space="preserve">deployed</w:t>
            </w:r>
          </w:p>
        </w:tc>
      </w:tr>
      <w:tr>
        <w:tc>
          <w:tcPr/>
          <w:p>
            <w:pPr>
              <w:pStyle w:val="Compact"/>
            </w:pPr>
            <w:r>
              <w:t xml:space="preserve">CGRP</w:t>
            </w:r>
          </w:p>
        </w:tc>
        <w:tc>
          <w:tcPr/>
          <w:p>
            <w:pPr>
              <w:pStyle w:val="Compact"/>
            </w:pPr>
            <w:r>
              <w:t xml:space="preserve">2,251</w:t>
            </w:r>
          </w:p>
        </w:tc>
        <w:tc>
          <w:tcPr/>
          <w:p>
            <w:pPr>
              <w:pStyle w:val="Compact"/>
            </w:pPr>
            <w:r>
              <w:t xml:space="preserve">0.985</w:t>
            </w:r>
          </w:p>
        </w:tc>
        <w:tc>
          <w:tcPr/>
          <w:p>
            <w:pPr>
              <w:pStyle w:val="Compact"/>
            </w:pPr>
            <w:r>
              <w:t xml:space="preserve">0.993</w:t>
            </w:r>
          </w:p>
        </w:tc>
        <w:tc>
          <w:tcPr/>
          <w:p>
            <w:pPr>
              <w:pStyle w:val="Compact"/>
            </w:pPr>
            <w:r>
              <w:t xml:space="preserve">deployed</w:t>
            </w:r>
          </w:p>
        </w:tc>
      </w:tr>
      <w:tr>
        <w:tc>
          <w:tcPr/>
          <w:p>
            <w:pPr>
              <w:pStyle w:val="Compact"/>
            </w:pPr>
            <w:r>
              <w:t xml:space="preserve">COX2</w:t>
            </w:r>
          </w:p>
        </w:tc>
        <w:tc>
          <w:tcPr/>
          <w:p>
            <w:pPr>
              <w:pStyle w:val="Compact"/>
            </w:pPr>
            <w:r>
              <w:t xml:space="preserve">4,429</w:t>
            </w:r>
          </w:p>
        </w:tc>
        <w:tc>
          <w:tcPr/>
          <w:p>
            <w:pPr>
              <w:pStyle w:val="Compact"/>
            </w:pPr>
            <w:r>
              <w:t xml:space="preserve">0.783</w:t>
            </w:r>
          </w:p>
        </w:tc>
        <w:tc>
          <w:tcPr/>
          <w:p>
            <w:pPr>
              <w:pStyle w:val="Compact"/>
            </w:pPr>
            <w:r>
              <w:t xml:space="preserve">0.338</w:t>
            </w:r>
          </w:p>
        </w:tc>
        <w:tc>
          <w:tcPr/>
          <w:p>
            <w:pPr>
              <w:pStyle w:val="Compact"/>
            </w:pPr>
            <w:r>
              <w:t xml:space="preserve">deployed, low-power flag</w:t>
            </w:r>
          </w:p>
        </w:tc>
      </w:tr>
      <w:tr>
        <w:tc>
          <w:tcPr/>
          <w:p>
            <w:pPr>
              <w:pStyle w:val="Compact"/>
            </w:pPr>
            <w:r>
              <w:t xml:space="preserve">CSF1R</w:t>
            </w:r>
          </w:p>
        </w:tc>
        <w:tc>
          <w:tcPr/>
          <w:p>
            <w:pPr>
              <w:pStyle w:val="Compact"/>
            </w:pPr>
            <w:r>
              <w:t xml:space="preserve">6,772</w:t>
            </w:r>
          </w:p>
        </w:tc>
        <w:tc>
          <w:tcPr/>
          <w:p>
            <w:pPr>
              <w:pStyle w:val="Compact"/>
            </w:pPr>
            <w:r>
              <w:t xml:space="preserve">0.950</w:t>
            </w:r>
          </w:p>
        </w:tc>
        <w:tc>
          <w:tcPr/>
          <w:p>
            <w:pPr>
              <w:pStyle w:val="Compact"/>
            </w:pPr>
            <w:r>
              <w:t xml:space="preserve">0.901</w:t>
            </w:r>
          </w:p>
        </w:tc>
        <w:tc>
          <w:tcPr/>
          <w:p>
            <w:pPr>
              <w:pStyle w:val="Compact"/>
            </w:pPr>
            <w:r>
              <w:t xml:space="preserve">deployed</w:t>
            </w:r>
          </w:p>
        </w:tc>
      </w:tr>
      <w:tr>
        <w:tc>
          <w:tcPr/>
          <w:p>
            <w:pPr>
              <w:pStyle w:val="Compact"/>
            </w:pPr>
            <w:r>
              <w:t xml:space="preserve">Cav3_2</w:t>
            </w:r>
          </w:p>
        </w:tc>
        <w:tc>
          <w:tcPr/>
          <w:p>
            <w:pPr>
              <w:pStyle w:val="Compact"/>
            </w:pPr>
            <w:r>
              <w:t xml:space="preserve">1,325</w:t>
            </w:r>
          </w:p>
        </w:tc>
        <w:tc>
          <w:tcPr/>
          <w:p>
            <w:pPr>
              <w:pStyle w:val="Compact"/>
            </w:pPr>
            <w:r>
              <w:t xml:space="preserve">0.982</w:t>
            </w:r>
          </w:p>
        </w:tc>
        <w:tc>
          <w:tcPr/>
          <w:p>
            <w:pPr>
              <w:pStyle w:val="Compact"/>
            </w:pPr>
            <w:r>
              <w:t xml:space="preserve">0.975</w:t>
            </w:r>
          </w:p>
        </w:tc>
        <w:tc>
          <w:tcPr/>
          <w:p>
            <w:pPr>
              <w:pStyle w:val="Compact"/>
            </w:pPr>
            <w:r>
              <w:t xml:space="preserve">deployed</w:t>
            </w:r>
          </w:p>
        </w:tc>
      </w:tr>
      <w:tr>
        <w:tc>
          <w:tcPr/>
          <w:p>
            <w:pPr>
              <w:pStyle w:val="Compact"/>
            </w:pPr>
            <w:r>
              <w:t xml:space="preserve">D2</w:t>
            </w:r>
          </w:p>
        </w:tc>
        <w:tc>
          <w:tcPr/>
          <w:p>
            <w:pPr>
              <w:pStyle w:val="Compact"/>
            </w:pPr>
            <w:r>
              <w:t xml:space="preserve">13,861</w:t>
            </w:r>
          </w:p>
        </w:tc>
        <w:tc>
          <w:tcPr/>
          <w:p>
            <w:pPr>
              <w:pStyle w:val="Compact"/>
            </w:pPr>
            <w:r>
              <w:t xml:space="preserve">0.872</w:t>
            </w:r>
          </w:p>
        </w:tc>
        <w:tc>
          <w:tcPr/>
          <w:p>
            <w:pPr>
              <w:pStyle w:val="Compact"/>
            </w:pPr>
            <w:r>
              <w:t xml:space="preserve">0.654</w:t>
            </w:r>
          </w:p>
        </w:tc>
        <w:tc>
          <w:tcPr/>
          <w:p>
            <w:pPr>
              <w:pStyle w:val="Compact"/>
            </w:pPr>
            <w:r>
              <w:t xml:space="preserve">deployed</w:t>
            </w:r>
          </w:p>
        </w:tc>
      </w:tr>
      <w:tr>
        <w:tc>
          <w:tcPr/>
          <w:p>
            <w:pPr>
              <w:pStyle w:val="Compact"/>
            </w:pPr>
            <w:r>
              <w:t xml:space="preserve">D3</w:t>
            </w:r>
          </w:p>
        </w:tc>
        <w:tc>
          <w:tcPr/>
          <w:p>
            <w:pPr>
              <w:pStyle w:val="Compact"/>
            </w:pPr>
            <w:r>
              <w:t xml:space="preserve">15,831</w:t>
            </w:r>
          </w:p>
        </w:tc>
        <w:tc>
          <w:tcPr/>
          <w:p>
            <w:pPr>
              <w:pStyle w:val="Compact"/>
            </w:pPr>
            <w:r>
              <w:t xml:space="preserve">0.956</w:t>
            </w:r>
          </w:p>
        </w:tc>
        <w:tc>
          <w:tcPr/>
          <w:p>
            <w:pPr>
              <w:pStyle w:val="Compact"/>
            </w:pPr>
            <w:r>
              <w:t xml:space="preserve">0.860</w:t>
            </w:r>
          </w:p>
        </w:tc>
        <w:tc>
          <w:tcPr/>
          <w:p>
            <w:pPr>
              <w:pStyle w:val="Compact"/>
            </w:pPr>
            <w:r>
              <w:t xml:space="preserve">deployed</w:t>
            </w:r>
          </w:p>
        </w:tc>
      </w:tr>
      <w:tr>
        <w:tc>
          <w:tcPr/>
          <w:p>
            <w:pPr>
              <w:pStyle w:val="Compact"/>
            </w:pPr>
            <w:r>
              <w:t xml:space="preserve">DAT</w:t>
            </w:r>
          </w:p>
        </w:tc>
        <w:tc>
          <w:tcPr/>
          <w:p>
            <w:pPr>
              <w:pStyle w:val="Compact"/>
            </w:pPr>
            <w:r>
              <w:t xml:space="preserve">5,113</w:t>
            </w:r>
          </w:p>
        </w:tc>
        <w:tc>
          <w:tcPr/>
          <w:p>
            <w:pPr>
              <w:pStyle w:val="Compact"/>
            </w:pPr>
            <w:r>
              <w:t xml:space="preserve">0.959</w:t>
            </w:r>
          </w:p>
        </w:tc>
        <w:tc>
          <w:tcPr/>
          <w:p>
            <w:pPr>
              <w:pStyle w:val="Compact"/>
            </w:pPr>
            <w:r>
              <w:t xml:space="preserve">0.864</w:t>
            </w:r>
          </w:p>
        </w:tc>
        <w:tc>
          <w:tcPr/>
          <w:p>
            <w:pPr>
              <w:pStyle w:val="Compact"/>
            </w:pPr>
            <w:r>
              <w:t xml:space="preserve">deployed</w:t>
            </w:r>
          </w:p>
        </w:tc>
      </w:tr>
      <w:tr>
        <w:tc>
          <w:tcPr/>
          <w:p>
            <w:pPr>
              <w:pStyle w:val="Compact"/>
            </w:pPr>
            <w:r>
              <w:t xml:space="preserve">DHODH</w:t>
            </w:r>
          </w:p>
        </w:tc>
        <w:tc>
          <w:tcPr/>
          <w:p>
            <w:pPr>
              <w:pStyle w:val="Compact"/>
            </w:pPr>
            <w:r>
              <w:t xml:space="preserve">3,619</w:t>
            </w:r>
          </w:p>
        </w:tc>
        <w:tc>
          <w:tcPr/>
          <w:p>
            <w:pPr>
              <w:pStyle w:val="Compact"/>
            </w:pPr>
            <w:r>
              <w:t xml:space="preserve">0.966</w:t>
            </w:r>
          </w:p>
        </w:tc>
        <w:tc>
          <w:tcPr/>
          <w:p>
            <w:pPr>
              <w:pStyle w:val="Compact"/>
            </w:pPr>
            <w:r>
              <w:t xml:space="preserve">0.948</w:t>
            </w:r>
          </w:p>
        </w:tc>
        <w:tc>
          <w:tcPr/>
          <w:p>
            <w:pPr>
              <w:pStyle w:val="Compact"/>
            </w:pPr>
            <w:r>
              <w:t xml:space="preserve">deployed</w:t>
            </w:r>
          </w:p>
        </w:tc>
      </w:tr>
      <w:tr>
        <w:tc>
          <w:tcPr/>
          <w:p>
            <w:pPr>
              <w:pStyle w:val="Compact"/>
            </w:pPr>
            <w:r>
              <w:t xml:space="preserve">GABA_A</w:t>
            </w:r>
          </w:p>
        </w:tc>
        <w:tc>
          <w:tcPr/>
          <w:p>
            <w:pPr>
              <w:pStyle w:val="Compact"/>
            </w:pPr>
            <w:r>
              <w:t xml:space="preserve">771</w:t>
            </w:r>
          </w:p>
        </w:tc>
        <w:tc>
          <w:tcPr/>
          <w:p>
            <w:pPr>
              <w:pStyle w:val="Compact"/>
            </w:pPr>
            <w:r>
              <w:t xml:space="preserve">0.719</w:t>
            </w:r>
          </w:p>
        </w:tc>
        <w:tc>
          <w:tcPr/>
          <w:p>
            <w:pPr>
              <w:pStyle w:val="Compact"/>
            </w:pPr>
            <w:r>
              <w:t xml:space="preserve">0.303</w:t>
            </w:r>
          </w:p>
        </w:tc>
        <w:tc>
          <w:tcPr/>
          <w:p>
            <w:pPr>
              <w:pStyle w:val="Compact"/>
            </w:pPr>
            <w:r>
              <w:t xml:space="preserve">deployed, low-power flag</w:t>
            </w:r>
          </w:p>
        </w:tc>
      </w:tr>
      <w:tr>
        <w:tc>
          <w:tcPr/>
          <w:p>
            <w:pPr>
              <w:pStyle w:val="Compact"/>
            </w:pPr>
            <w:r>
              <w:t xml:space="preserve">GBA1</w:t>
            </w:r>
          </w:p>
        </w:tc>
        <w:tc>
          <w:tcPr/>
          <w:p>
            <w:pPr>
              <w:pStyle w:val="Compact"/>
            </w:pPr>
            <w:r>
              <w:t xml:space="preserve">441</w:t>
            </w:r>
          </w:p>
        </w:tc>
        <w:tc>
          <w:tcPr/>
          <w:p>
            <w:pPr>
              <w:pStyle w:val="Compact"/>
            </w:pPr>
            <w:r>
              <w:t xml:space="preserve">0.932</w:t>
            </w:r>
          </w:p>
        </w:tc>
        <w:tc>
          <w:tcPr/>
          <w:p>
            <w:pPr>
              <w:pStyle w:val="Compact"/>
            </w:pPr>
            <w:r>
              <w:t xml:space="preserve">0.795</w:t>
            </w:r>
          </w:p>
        </w:tc>
        <w:tc>
          <w:tcPr/>
          <w:p>
            <w:pPr>
              <w:pStyle w:val="Compact"/>
            </w:pPr>
            <w:r>
              <w:t xml:space="preserve">deployed</w:t>
            </w:r>
          </w:p>
        </w:tc>
      </w:tr>
      <w:tr>
        <w:tc>
          <w:tcPr/>
          <w:p>
            <w:pPr>
              <w:pStyle w:val="Compact"/>
            </w:pPr>
            <w:r>
              <w:t xml:space="preserve">GluA2</w:t>
            </w:r>
          </w:p>
        </w:tc>
        <w:tc>
          <w:tcPr/>
          <w:p>
            <w:pPr>
              <w:pStyle w:val="Compact"/>
            </w:pPr>
            <w:r>
              <w:t xml:space="preserve">68</w:t>
            </w:r>
          </w:p>
        </w:tc>
        <w:tc>
          <w:tcPr/>
          <w:p>
            <w:pPr>
              <w:pStyle w:val="Compact"/>
            </w:pPr>
            <w:r>
              <w:t xml:space="preserve">0.696</w:t>
            </w:r>
          </w:p>
        </w:tc>
        <w:tc>
          <w:tcPr/>
          <w:p>
            <w:pPr>
              <w:pStyle w:val="Compact"/>
            </w:pPr>
            <w:r>
              <w:t xml:space="preserve">0.103</w:t>
            </w:r>
          </w:p>
        </w:tc>
        <w:tc>
          <w:tcPr/>
          <w:p>
            <w:pPr>
              <w:pStyle w:val="Compact"/>
            </w:pPr>
            <w:r>
              <w:t xml:space="preserve">withdrawn</w:t>
            </w:r>
          </w:p>
        </w:tc>
      </w:tr>
      <w:tr>
        <w:tc>
          <w:tcPr/>
          <w:p>
            <w:pPr>
              <w:pStyle w:val="Compact"/>
            </w:pPr>
            <w:r>
              <w:t xml:space="preserve">GluN2B</w:t>
            </w:r>
          </w:p>
        </w:tc>
        <w:tc>
          <w:tcPr/>
          <w:p>
            <w:pPr>
              <w:pStyle w:val="Compact"/>
            </w:pPr>
            <w:r>
              <w:t xml:space="preserve">3,461</w:t>
            </w:r>
          </w:p>
        </w:tc>
        <w:tc>
          <w:tcPr/>
          <w:p>
            <w:pPr>
              <w:pStyle w:val="Compact"/>
            </w:pPr>
            <w:r>
              <w:t xml:space="preserve">0.761</w:t>
            </w:r>
          </w:p>
        </w:tc>
        <w:tc>
          <w:tcPr/>
          <w:p>
            <w:pPr>
              <w:pStyle w:val="Compact"/>
            </w:pPr>
            <w:r>
              <w:t xml:space="preserve">0.374</w:t>
            </w:r>
          </w:p>
        </w:tc>
        <w:tc>
          <w:tcPr/>
          <w:p>
            <w:pPr>
              <w:pStyle w:val="Compact"/>
            </w:pPr>
            <w:r>
              <w:t xml:space="preserve">deployed, low-power flag</w:t>
            </w:r>
          </w:p>
        </w:tc>
      </w:tr>
      <w:tr>
        <w:tc>
          <w:tcPr/>
          <w:p>
            <w:pPr>
              <w:pStyle w:val="Compact"/>
            </w:pPr>
            <w:r>
              <w:t xml:space="preserve">H3</w:t>
            </w:r>
          </w:p>
        </w:tc>
        <w:tc>
          <w:tcPr/>
          <w:p>
            <w:pPr>
              <w:pStyle w:val="Compact"/>
            </w:pPr>
            <w:r>
              <w:t xml:space="preserve">12,295</w:t>
            </w:r>
          </w:p>
        </w:tc>
        <w:tc>
          <w:tcPr/>
          <w:p>
            <w:pPr>
              <w:pStyle w:val="Compact"/>
            </w:pPr>
            <w:r>
              <w:t xml:space="preserve">0.978</w:t>
            </w:r>
          </w:p>
        </w:tc>
        <w:tc>
          <w:tcPr/>
          <w:p>
            <w:pPr>
              <w:pStyle w:val="Compact"/>
            </w:pPr>
            <w:r>
              <w:t xml:space="preserve">0.953</w:t>
            </w:r>
          </w:p>
        </w:tc>
        <w:tc>
          <w:tcPr/>
          <w:p>
            <w:pPr>
              <w:pStyle w:val="Compact"/>
            </w:pPr>
            <w:r>
              <w:t xml:space="preserve">deployed</w:t>
            </w:r>
          </w:p>
        </w:tc>
      </w:tr>
      <w:tr>
        <w:tc>
          <w:tcPr/>
          <w:p>
            <w:pPr>
              <w:pStyle w:val="Compact"/>
            </w:pPr>
            <w:r>
              <w:t xml:space="preserve">HDAC1</w:t>
            </w:r>
          </w:p>
        </w:tc>
        <w:tc>
          <w:tcPr/>
          <w:p>
            <w:pPr>
              <w:pStyle w:val="Compact"/>
            </w:pPr>
            <w:r>
              <w:t xml:space="preserve">11,728</w:t>
            </w:r>
          </w:p>
        </w:tc>
        <w:tc>
          <w:tcPr/>
          <w:p>
            <w:pPr>
              <w:pStyle w:val="Compact"/>
            </w:pPr>
            <w:r>
              <w:t xml:space="preserve">0.960</w:t>
            </w:r>
          </w:p>
        </w:tc>
        <w:tc>
          <w:tcPr/>
          <w:p>
            <w:pPr>
              <w:pStyle w:val="Compact"/>
            </w:pPr>
            <w:r>
              <w:t xml:space="preserve">0.900</w:t>
            </w:r>
          </w:p>
        </w:tc>
        <w:tc>
          <w:tcPr/>
          <w:p>
            <w:pPr>
              <w:pStyle w:val="Compact"/>
            </w:pPr>
            <w:r>
              <w:t xml:space="preserve">deployed</w:t>
            </w:r>
          </w:p>
        </w:tc>
      </w:tr>
      <w:tr>
        <w:tc>
          <w:tcPr/>
          <w:p>
            <w:pPr>
              <w:pStyle w:val="Compact"/>
            </w:pPr>
            <w:r>
              <w:t xml:space="preserve">HDAC6</w:t>
            </w:r>
          </w:p>
        </w:tc>
        <w:tc>
          <w:tcPr/>
          <w:p>
            <w:pPr>
              <w:pStyle w:val="Compact"/>
            </w:pPr>
            <w:r>
              <w:t xml:space="preserve">14,155</w:t>
            </w:r>
          </w:p>
        </w:tc>
        <w:tc>
          <w:tcPr/>
          <w:p>
            <w:pPr>
              <w:pStyle w:val="Compact"/>
            </w:pPr>
            <w:r>
              <w:t xml:space="preserve">0.975</w:t>
            </w:r>
          </w:p>
        </w:tc>
        <w:tc>
          <w:tcPr/>
          <w:p>
            <w:pPr>
              <w:pStyle w:val="Compact"/>
            </w:pPr>
            <w:r>
              <w:t xml:space="preserve">0.930</w:t>
            </w:r>
          </w:p>
        </w:tc>
        <w:tc>
          <w:tcPr/>
          <w:p>
            <w:pPr>
              <w:pStyle w:val="Compact"/>
            </w:pPr>
            <w:r>
              <w:t xml:space="preserve">deployed</w:t>
            </w:r>
          </w:p>
        </w:tc>
      </w:tr>
      <w:tr>
        <w:tc>
          <w:tcPr/>
          <w:p>
            <w:pPr>
              <w:pStyle w:val="Compact"/>
            </w:pPr>
            <w:r>
              <w:t xml:space="preserve">HT1A</w:t>
            </w:r>
          </w:p>
        </w:tc>
        <w:tc>
          <w:tcPr/>
          <w:p>
            <w:pPr>
              <w:pStyle w:val="Compact"/>
            </w:pPr>
            <w:r>
              <w:t xml:space="preserve">14,179</w:t>
            </w:r>
          </w:p>
        </w:tc>
        <w:tc>
          <w:tcPr/>
          <w:p>
            <w:pPr>
              <w:pStyle w:val="Compact"/>
            </w:pPr>
            <w:r>
              <w:t xml:space="preserve">0.936</w:t>
            </w:r>
          </w:p>
        </w:tc>
        <w:tc>
          <w:tcPr/>
          <w:p>
            <w:pPr>
              <w:pStyle w:val="Compact"/>
            </w:pPr>
            <w:r>
              <w:t xml:space="preserve">0.754</w:t>
            </w:r>
          </w:p>
        </w:tc>
        <w:tc>
          <w:tcPr/>
          <w:p>
            <w:pPr>
              <w:pStyle w:val="Compact"/>
            </w:pPr>
            <w:r>
              <w:t xml:space="preserve">deployed</w:t>
            </w:r>
          </w:p>
        </w:tc>
      </w:tr>
      <w:tr>
        <w:tc>
          <w:tcPr/>
          <w:p>
            <w:pPr>
              <w:pStyle w:val="Compact"/>
            </w:pPr>
            <w:r>
              <w:t xml:space="preserve">HT2A</w:t>
            </w:r>
          </w:p>
        </w:tc>
        <w:tc>
          <w:tcPr/>
          <w:p>
            <w:pPr>
              <w:pStyle w:val="Compact"/>
            </w:pPr>
            <w:r>
              <w:t xml:space="preserve">14,369</w:t>
            </w:r>
          </w:p>
        </w:tc>
        <w:tc>
          <w:tcPr/>
          <w:p>
            <w:pPr>
              <w:pStyle w:val="Compact"/>
            </w:pPr>
            <w:r>
              <w:t xml:space="preserve">0.925</w:t>
            </w:r>
          </w:p>
        </w:tc>
        <w:tc>
          <w:tcPr/>
          <w:p>
            <w:pPr>
              <w:pStyle w:val="Compact"/>
            </w:pPr>
            <w:r>
              <w:t xml:space="preserve">0.670</w:t>
            </w:r>
          </w:p>
        </w:tc>
        <w:tc>
          <w:tcPr/>
          <w:p>
            <w:pPr>
              <w:pStyle w:val="Compact"/>
            </w:pPr>
            <w:r>
              <w:t xml:space="preserve">deployed</w:t>
            </w:r>
          </w:p>
        </w:tc>
      </w:tr>
      <w:tr>
        <w:tc>
          <w:tcPr/>
          <w:p>
            <w:pPr>
              <w:pStyle w:val="Compact"/>
            </w:pPr>
            <w:r>
              <w:t xml:space="preserve">HT6</w:t>
            </w:r>
          </w:p>
        </w:tc>
        <w:tc>
          <w:tcPr/>
          <w:p>
            <w:pPr>
              <w:pStyle w:val="Compact"/>
            </w:pPr>
            <w:r>
              <w:t xml:space="preserve">10,532</w:t>
            </w:r>
          </w:p>
        </w:tc>
        <w:tc>
          <w:tcPr/>
          <w:p>
            <w:pPr>
              <w:pStyle w:val="Compact"/>
            </w:pPr>
            <w:r>
              <w:t xml:space="preserve">0.960</w:t>
            </w:r>
          </w:p>
        </w:tc>
        <w:tc>
          <w:tcPr/>
          <w:p>
            <w:pPr>
              <w:pStyle w:val="Compact"/>
            </w:pPr>
            <w:r>
              <w:t xml:space="preserve">0.931</w:t>
            </w:r>
          </w:p>
        </w:tc>
        <w:tc>
          <w:tcPr/>
          <w:p>
            <w:pPr>
              <w:pStyle w:val="Compact"/>
            </w:pPr>
            <w:r>
              <w:t xml:space="preserve">deployed</w:t>
            </w:r>
          </w:p>
        </w:tc>
      </w:tr>
      <w:tr>
        <w:tc>
          <w:tcPr/>
          <w:p>
            <w:pPr>
              <w:pStyle w:val="Compact"/>
            </w:pPr>
            <w:r>
              <w:t xml:space="preserve">HT7</w:t>
            </w:r>
          </w:p>
        </w:tc>
        <w:tc>
          <w:tcPr/>
          <w:p>
            <w:pPr>
              <w:pStyle w:val="Compact"/>
            </w:pPr>
            <w:r>
              <w:t xml:space="preserve">5,623</w:t>
            </w:r>
          </w:p>
        </w:tc>
        <w:tc>
          <w:tcPr/>
          <w:p>
            <w:pPr>
              <w:pStyle w:val="Compact"/>
            </w:pPr>
            <w:r>
              <w:t xml:space="preserve">0.947</w:t>
            </w:r>
          </w:p>
        </w:tc>
        <w:tc>
          <w:tcPr/>
          <w:p>
            <w:pPr>
              <w:pStyle w:val="Compact"/>
            </w:pPr>
            <w:r>
              <w:t xml:space="preserve">0.830</w:t>
            </w:r>
          </w:p>
        </w:tc>
        <w:tc>
          <w:tcPr/>
          <w:p>
            <w:pPr>
              <w:pStyle w:val="Compact"/>
            </w:pPr>
            <w:r>
              <w:t xml:space="preserve">deployed</w:t>
            </w:r>
          </w:p>
        </w:tc>
      </w:tr>
      <w:tr>
        <w:tc>
          <w:tcPr/>
          <w:p>
            <w:pPr>
              <w:pStyle w:val="Compact"/>
            </w:pPr>
            <w:r>
              <w:t xml:space="preserve">KEAP1</w:t>
            </w:r>
          </w:p>
        </w:tc>
        <w:tc>
          <w:tcPr/>
          <w:p>
            <w:pPr>
              <w:pStyle w:val="Compact"/>
            </w:pPr>
            <w:r>
              <w:t xml:space="preserve">463</w:t>
            </w:r>
          </w:p>
        </w:tc>
        <w:tc>
          <w:tcPr/>
          <w:p>
            <w:pPr>
              <w:pStyle w:val="Compact"/>
            </w:pPr>
            <w:r>
              <w:t xml:space="preserve">0.880</w:t>
            </w:r>
          </w:p>
        </w:tc>
        <w:tc>
          <w:tcPr/>
          <w:p>
            <w:pPr>
              <w:pStyle w:val="Compact"/>
            </w:pPr>
            <w:r>
              <w:t xml:space="preserve">0.520</w:t>
            </w:r>
          </w:p>
        </w:tc>
        <w:tc>
          <w:tcPr/>
          <w:p>
            <w:pPr>
              <w:pStyle w:val="Compact"/>
            </w:pPr>
            <w:r>
              <w:t xml:space="preserve">deployed</w:t>
            </w:r>
          </w:p>
        </w:tc>
      </w:tr>
      <w:tr>
        <w:tc>
          <w:tcPr/>
          <w:p>
            <w:pPr>
              <w:pStyle w:val="Compact"/>
            </w:pPr>
            <w:r>
              <w:t xml:space="preserve">LRRK2</w:t>
            </w:r>
          </w:p>
        </w:tc>
        <w:tc>
          <w:tcPr/>
          <w:p>
            <w:pPr>
              <w:pStyle w:val="Compact"/>
            </w:pPr>
            <w:r>
              <w:t xml:space="preserve">4,470</w:t>
            </w:r>
          </w:p>
        </w:tc>
        <w:tc>
          <w:tcPr/>
          <w:p>
            <w:pPr>
              <w:pStyle w:val="Compact"/>
            </w:pPr>
            <w:r>
              <w:t xml:space="preserve">0.968</w:t>
            </w:r>
          </w:p>
        </w:tc>
        <w:tc>
          <w:tcPr/>
          <w:p>
            <w:pPr>
              <w:pStyle w:val="Compact"/>
            </w:pPr>
            <w:r>
              <w:t xml:space="preserve">0.919</w:t>
            </w:r>
          </w:p>
        </w:tc>
        <w:tc>
          <w:tcPr/>
          <w:p>
            <w:pPr>
              <w:pStyle w:val="Compact"/>
            </w:pPr>
            <w:r>
              <w:t xml:space="preserve">deployed</w:t>
            </w:r>
          </w:p>
        </w:tc>
      </w:tr>
      <w:tr>
        <w:tc>
          <w:tcPr/>
          <w:p>
            <w:pPr>
              <w:pStyle w:val="Compact"/>
            </w:pPr>
            <w:r>
              <w:t xml:space="preserve">MT1</w:t>
            </w:r>
          </w:p>
        </w:tc>
        <w:tc>
          <w:tcPr/>
          <w:p>
            <w:pPr>
              <w:pStyle w:val="Compact"/>
            </w:pPr>
            <w:r>
              <w:t xml:space="preserve">2,670</w:t>
            </w:r>
          </w:p>
        </w:tc>
        <w:tc>
          <w:tcPr/>
          <w:p>
            <w:pPr>
              <w:pStyle w:val="Compact"/>
            </w:pPr>
            <w:r>
              <w:t xml:space="preserve">0.896</w:t>
            </w:r>
          </w:p>
        </w:tc>
        <w:tc>
          <w:tcPr/>
          <w:p>
            <w:pPr>
              <w:pStyle w:val="Compact"/>
            </w:pPr>
            <w:r>
              <w:t xml:space="preserve">0.678</w:t>
            </w:r>
          </w:p>
        </w:tc>
        <w:tc>
          <w:tcPr/>
          <w:p>
            <w:pPr>
              <w:pStyle w:val="Compact"/>
            </w:pPr>
            <w:r>
              <w:t xml:space="preserve">deployed</w:t>
            </w:r>
          </w:p>
        </w:tc>
      </w:tr>
      <w:tr>
        <w:tc>
          <w:tcPr/>
          <w:p>
            <w:pPr>
              <w:pStyle w:val="Compact"/>
            </w:pPr>
            <w:r>
              <w:t xml:space="preserve">NET</w:t>
            </w:r>
          </w:p>
        </w:tc>
        <w:tc>
          <w:tcPr/>
          <w:p>
            <w:pPr>
              <w:pStyle w:val="Compact"/>
            </w:pPr>
            <w:r>
              <w:t xml:space="preserve">5,933</w:t>
            </w:r>
          </w:p>
        </w:tc>
        <w:tc>
          <w:tcPr/>
          <w:p>
            <w:pPr>
              <w:pStyle w:val="Compact"/>
            </w:pPr>
            <w:r>
              <w:t xml:space="preserve">0.920</w:t>
            </w:r>
          </w:p>
        </w:tc>
        <w:tc>
          <w:tcPr/>
          <w:p>
            <w:pPr>
              <w:pStyle w:val="Compact"/>
            </w:pPr>
            <w:r>
              <w:t xml:space="preserve">0.732</w:t>
            </w:r>
          </w:p>
        </w:tc>
        <w:tc>
          <w:tcPr/>
          <w:p>
            <w:pPr>
              <w:pStyle w:val="Compact"/>
            </w:pPr>
            <w:r>
              <w:t xml:space="preserve">deployed</w:t>
            </w:r>
          </w:p>
        </w:tc>
      </w:tr>
      <w:tr>
        <w:tc>
          <w:tcPr/>
          <w:p>
            <w:pPr>
              <w:pStyle w:val="Compact"/>
            </w:pPr>
            <w:r>
              <w:t xml:space="preserve">NFKB1</w:t>
            </w:r>
          </w:p>
        </w:tc>
        <w:tc>
          <w:tcPr/>
          <w:p>
            <w:pPr>
              <w:pStyle w:val="Compact"/>
            </w:pPr>
            <w:r>
              <w:t xml:space="preserve">102</w:t>
            </w:r>
          </w:p>
        </w:tc>
        <w:tc>
          <w:tcPr/>
          <w:p>
            <w:pPr>
              <w:pStyle w:val="Compact"/>
            </w:pPr>
            <w:r>
              <w:t xml:space="preserve">0.459</w:t>
            </w:r>
          </w:p>
        </w:tc>
        <w:tc>
          <w:tcPr/>
          <w:p>
            <w:pPr>
              <w:pStyle w:val="Compact"/>
            </w:pPr>
            <w:r>
              <w:t xml:space="preserve">0.000</w:t>
            </w:r>
          </w:p>
        </w:tc>
        <w:tc>
          <w:tcPr/>
          <w:p>
            <w:pPr>
              <w:pStyle w:val="Compact"/>
            </w:pPr>
            <w:r>
              <w:t xml:space="preserve">withdrawn</w:t>
            </w:r>
          </w:p>
        </w:tc>
      </w:tr>
      <w:tr>
        <w:tc>
          <w:tcPr/>
          <w:p>
            <w:pPr>
              <w:pStyle w:val="Compact"/>
            </w:pPr>
            <w:r>
              <w:t xml:space="preserve">NLRP3</w:t>
            </w:r>
          </w:p>
        </w:tc>
        <w:tc>
          <w:tcPr/>
          <w:p>
            <w:pPr>
              <w:pStyle w:val="Compact"/>
            </w:pPr>
            <w:r>
              <w:t xml:space="preserve">843</w:t>
            </w:r>
          </w:p>
        </w:tc>
        <w:tc>
          <w:tcPr/>
          <w:p>
            <w:pPr>
              <w:pStyle w:val="Compact"/>
            </w:pPr>
            <w:r>
              <w:t xml:space="preserve">0.930</w:t>
            </w:r>
          </w:p>
        </w:tc>
        <w:tc>
          <w:tcPr/>
          <w:p>
            <w:pPr>
              <w:pStyle w:val="Compact"/>
            </w:pPr>
            <w:r>
              <w:t xml:space="preserve">0.867</w:t>
            </w:r>
          </w:p>
        </w:tc>
        <w:tc>
          <w:tcPr/>
          <w:p>
            <w:pPr>
              <w:pStyle w:val="Compact"/>
            </w:pPr>
            <w:r>
              <w:t xml:space="preserve">deployed</w:t>
            </w:r>
          </w:p>
        </w:tc>
      </w:tr>
      <w:tr>
        <w:tc>
          <w:tcPr/>
          <w:p>
            <w:pPr>
              <w:pStyle w:val="Compact"/>
            </w:pPr>
            <w:r>
              <w:t xml:space="preserve">NR3C1</w:t>
            </w:r>
          </w:p>
        </w:tc>
        <w:tc>
          <w:tcPr/>
          <w:p>
            <w:pPr>
              <w:pStyle w:val="Compact"/>
            </w:pPr>
            <w:r>
              <w:t xml:space="preserve">37</w:t>
            </w:r>
          </w:p>
        </w:tc>
        <w:tc>
          <w:tcPr/>
          <w:p>
            <w:pPr>
              <w:pStyle w:val="Compact"/>
            </w:pPr>
            <w:r>
              <w:t xml:space="preserve">0.410</w:t>
            </w:r>
          </w:p>
        </w:tc>
        <w:tc>
          <w:tcPr/>
          <w:p>
            <w:pPr>
              <w:pStyle w:val="Compact"/>
            </w:pPr>
            <w:r>
              <w:t xml:space="preserve">0.167</w:t>
            </w:r>
          </w:p>
        </w:tc>
        <w:tc>
          <w:tcPr/>
          <w:p>
            <w:pPr>
              <w:pStyle w:val="Compact"/>
            </w:pPr>
            <w:r>
              <w:t xml:space="preserve">withdrawn</w:t>
            </w:r>
          </w:p>
        </w:tc>
      </w:tr>
      <w:tr>
        <w:tc>
          <w:tcPr/>
          <w:p>
            <w:pPr>
              <w:pStyle w:val="Compact"/>
            </w:pPr>
            <w:r>
              <w:t xml:space="preserve">NRF2</w:t>
            </w:r>
          </w:p>
        </w:tc>
        <w:tc>
          <w:tcPr/>
          <w:p>
            <w:pPr>
              <w:pStyle w:val="Compact"/>
            </w:pPr>
            <w:r>
              <w:t xml:space="preserve">285</w:t>
            </w:r>
          </w:p>
        </w:tc>
        <w:tc>
          <w:tcPr/>
          <w:p>
            <w:pPr>
              <w:pStyle w:val="Compact"/>
            </w:pPr>
            <w:r>
              <w:t xml:space="preserve">0.789</w:t>
            </w:r>
          </w:p>
        </w:tc>
        <w:tc>
          <w:tcPr/>
          <w:p>
            <w:pPr>
              <w:pStyle w:val="Compact"/>
            </w:pPr>
            <w:r>
              <w:t xml:space="preserve">0.545</w:t>
            </w:r>
          </w:p>
        </w:tc>
        <w:tc>
          <w:tcPr/>
          <w:p>
            <w:pPr>
              <w:pStyle w:val="Compact"/>
            </w:pPr>
            <w:r>
              <w:t xml:space="preserve">withdrawn</w:t>
            </w:r>
          </w:p>
        </w:tc>
      </w:tr>
      <w:tr>
        <w:tc>
          <w:tcPr/>
          <w:p>
            <w:pPr>
              <w:pStyle w:val="Compact"/>
            </w:pPr>
            <w:r>
              <w:t xml:space="preserve">Nav1_1</w:t>
            </w:r>
          </w:p>
        </w:tc>
        <w:tc>
          <w:tcPr/>
          <w:p>
            <w:pPr>
              <w:pStyle w:val="Compact"/>
            </w:pPr>
            <w:r>
              <w:t xml:space="preserve">227</w:t>
            </w:r>
          </w:p>
        </w:tc>
        <w:tc>
          <w:tcPr/>
          <w:p>
            <w:pPr>
              <w:pStyle w:val="Compact"/>
            </w:pPr>
            <w:r>
              <w:t xml:space="preserve">0.952</w:t>
            </w:r>
          </w:p>
        </w:tc>
        <w:tc>
          <w:tcPr/>
          <w:p>
            <w:pPr>
              <w:pStyle w:val="Compact"/>
            </w:pPr>
            <w:r>
              <w:t xml:space="preserve">0.120</w:t>
            </w:r>
          </w:p>
        </w:tc>
        <w:tc>
          <w:tcPr/>
          <w:p>
            <w:pPr>
              <w:pStyle w:val="Compact"/>
            </w:pPr>
            <w:r>
              <w:t xml:space="preserve">withdrawn</w:t>
            </w:r>
          </w:p>
        </w:tc>
      </w:tr>
      <w:tr>
        <w:tc>
          <w:tcPr/>
          <w:p>
            <w:pPr>
              <w:pStyle w:val="Compact"/>
            </w:pPr>
            <w:r>
              <w:t xml:space="preserve">Nav1_5</w:t>
            </w:r>
          </w:p>
        </w:tc>
        <w:tc>
          <w:tcPr/>
          <w:p>
            <w:pPr>
              <w:pStyle w:val="Compact"/>
            </w:pPr>
            <w:r>
              <w:t xml:space="preserve">870</w:t>
            </w:r>
          </w:p>
        </w:tc>
        <w:tc>
          <w:tcPr/>
          <w:p>
            <w:pPr>
              <w:pStyle w:val="Compact"/>
            </w:pPr>
            <w:r>
              <w:t xml:space="preserve">0.921</w:t>
            </w:r>
          </w:p>
        </w:tc>
        <w:tc>
          <w:tcPr/>
          <w:p>
            <w:pPr>
              <w:pStyle w:val="Compact"/>
            </w:pPr>
            <w:r>
              <w:t xml:space="preserve">0.800</w:t>
            </w:r>
          </w:p>
        </w:tc>
        <w:tc>
          <w:tcPr/>
          <w:p>
            <w:pPr>
              <w:pStyle w:val="Compact"/>
            </w:pPr>
            <w:r>
              <w:t xml:space="preserve">deployed</w:t>
            </w:r>
          </w:p>
        </w:tc>
      </w:tr>
      <w:tr>
        <w:tc>
          <w:tcPr/>
          <w:p>
            <w:pPr>
              <w:pStyle w:val="Compact"/>
            </w:pPr>
            <w:r>
              <w:t xml:space="preserve">Nav1_6</w:t>
            </w:r>
          </w:p>
        </w:tc>
        <w:tc>
          <w:tcPr/>
          <w:p>
            <w:pPr>
              <w:pStyle w:val="Compact"/>
            </w:pPr>
            <w:r>
              <w:t xml:space="preserve">1,027</w:t>
            </w:r>
          </w:p>
        </w:tc>
        <w:tc>
          <w:tcPr/>
          <w:p>
            <w:pPr>
              <w:pStyle w:val="Compact"/>
            </w:pPr>
            <w:r>
              <w:t xml:space="preserve">0.862</w:t>
            </w:r>
          </w:p>
        </w:tc>
        <w:tc>
          <w:tcPr/>
          <w:p>
            <w:pPr>
              <w:pStyle w:val="Compact"/>
            </w:pPr>
            <w:r>
              <w:t xml:space="preserve">0.532</w:t>
            </w:r>
          </w:p>
        </w:tc>
        <w:tc>
          <w:tcPr/>
          <w:p>
            <w:pPr>
              <w:pStyle w:val="Compact"/>
            </w:pPr>
            <w:r>
              <w:t xml:space="preserve">deployed</w:t>
            </w:r>
          </w:p>
        </w:tc>
      </w:tr>
      <w:tr>
        <w:tc>
          <w:tcPr/>
          <w:p>
            <w:pPr>
              <w:pStyle w:val="Compact"/>
            </w:pPr>
            <w:r>
              <w:t xml:space="preserve">Nav1_7</w:t>
            </w:r>
          </w:p>
        </w:tc>
        <w:tc>
          <w:tcPr/>
          <w:p>
            <w:pPr>
              <w:pStyle w:val="Compact"/>
            </w:pPr>
            <w:r>
              <w:t xml:space="preserve">10,397</w:t>
            </w:r>
          </w:p>
        </w:tc>
        <w:tc>
          <w:tcPr/>
          <w:p>
            <w:pPr>
              <w:pStyle w:val="Compact"/>
            </w:pPr>
            <w:r>
              <w:t xml:space="preserve">0.957</w:t>
            </w:r>
          </w:p>
        </w:tc>
        <w:tc>
          <w:tcPr/>
          <w:p>
            <w:pPr>
              <w:pStyle w:val="Compact"/>
            </w:pPr>
            <w:r>
              <w:t xml:space="preserve">0.877</w:t>
            </w:r>
          </w:p>
        </w:tc>
        <w:tc>
          <w:tcPr/>
          <w:p>
            <w:pPr>
              <w:pStyle w:val="Compact"/>
            </w:pPr>
            <w:r>
              <w:t xml:space="preserve">deployed</w:t>
            </w:r>
          </w:p>
        </w:tc>
      </w:tr>
      <w:tr>
        <w:tc>
          <w:tcPr/>
          <w:p>
            <w:pPr>
              <w:pStyle w:val="Compact"/>
            </w:pPr>
            <w:r>
              <w:t xml:space="preserve">Nav1_8</w:t>
            </w:r>
          </w:p>
        </w:tc>
        <w:tc>
          <w:tcPr/>
          <w:p>
            <w:pPr>
              <w:pStyle w:val="Compact"/>
            </w:pPr>
            <w:r>
              <w:t xml:space="preserve">1,030</w:t>
            </w:r>
          </w:p>
        </w:tc>
        <w:tc>
          <w:tcPr/>
          <w:p>
            <w:pPr>
              <w:pStyle w:val="Compact"/>
            </w:pPr>
            <w:r>
              <w:t xml:space="preserve">0.956</w:t>
            </w:r>
          </w:p>
        </w:tc>
        <w:tc>
          <w:tcPr/>
          <w:p>
            <w:pPr>
              <w:pStyle w:val="Compact"/>
            </w:pPr>
            <w:r>
              <w:t xml:space="preserve">0.892</w:t>
            </w:r>
          </w:p>
        </w:tc>
        <w:tc>
          <w:tcPr/>
          <w:p>
            <w:pPr>
              <w:pStyle w:val="Compact"/>
            </w:pPr>
            <w:r>
              <w:t xml:space="preserve">deployed</w:t>
            </w:r>
          </w:p>
        </w:tc>
      </w:tr>
      <w:tr>
        <w:tc>
          <w:tcPr/>
          <w:p>
            <w:pPr>
              <w:pStyle w:val="Compact"/>
            </w:pPr>
            <w:r>
              <w:t xml:space="preserve">OPRK1</w:t>
            </w:r>
          </w:p>
        </w:tc>
        <w:tc>
          <w:tcPr/>
          <w:p>
            <w:pPr>
              <w:pStyle w:val="Compact"/>
            </w:pPr>
            <w:r>
              <w:t xml:space="preserve">11,642</w:t>
            </w:r>
          </w:p>
        </w:tc>
        <w:tc>
          <w:tcPr/>
          <w:p>
            <w:pPr>
              <w:pStyle w:val="Compact"/>
            </w:pPr>
            <w:r>
              <w:t xml:space="preserve">0.945</w:t>
            </w:r>
          </w:p>
        </w:tc>
        <w:tc>
          <w:tcPr/>
          <w:p>
            <w:pPr>
              <w:pStyle w:val="Compact"/>
            </w:pPr>
            <w:r>
              <w:t xml:space="preserve">0.801</w:t>
            </w:r>
          </w:p>
        </w:tc>
        <w:tc>
          <w:tcPr/>
          <w:p>
            <w:pPr>
              <w:pStyle w:val="Compact"/>
            </w:pPr>
            <w:r>
              <w:t xml:space="preserve">deployed</w:t>
            </w:r>
          </w:p>
        </w:tc>
      </w:tr>
      <w:tr>
        <w:tc>
          <w:tcPr/>
          <w:p>
            <w:pPr>
              <w:pStyle w:val="Compact"/>
            </w:pPr>
            <w:r>
              <w:t xml:space="preserve">OPRM1</w:t>
            </w:r>
          </w:p>
        </w:tc>
        <w:tc>
          <w:tcPr/>
          <w:p>
            <w:pPr>
              <w:pStyle w:val="Compact"/>
            </w:pPr>
            <w:r>
              <w:t xml:space="preserve">14,058</w:t>
            </w:r>
          </w:p>
        </w:tc>
        <w:tc>
          <w:tcPr/>
          <w:p>
            <w:pPr>
              <w:pStyle w:val="Compact"/>
            </w:pPr>
            <w:r>
              <w:t xml:space="preserve">0.954</w:t>
            </w:r>
          </w:p>
        </w:tc>
        <w:tc>
          <w:tcPr/>
          <w:p>
            <w:pPr>
              <w:pStyle w:val="Compact"/>
            </w:pPr>
            <w:r>
              <w:t xml:space="preserve">0.872</w:t>
            </w:r>
          </w:p>
        </w:tc>
        <w:tc>
          <w:tcPr/>
          <w:p>
            <w:pPr>
              <w:pStyle w:val="Compact"/>
            </w:pPr>
            <w:r>
              <w:t xml:space="preserve">deployed</w:t>
            </w:r>
          </w:p>
        </w:tc>
      </w:tr>
      <w:tr>
        <w:tc>
          <w:tcPr/>
          <w:p>
            <w:pPr>
              <w:pStyle w:val="Compact"/>
            </w:pPr>
            <w:r>
              <w:t xml:space="preserve">OX1</w:t>
            </w:r>
          </w:p>
        </w:tc>
        <w:tc>
          <w:tcPr/>
          <w:p>
            <w:pPr>
              <w:pStyle w:val="Compact"/>
            </w:pPr>
            <w:r>
              <w:t xml:space="preserve">12,724</w:t>
            </w:r>
          </w:p>
        </w:tc>
        <w:tc>
          <w:tcPr/>
          <w:p>
            <w:pPr>
              <w:pStyle w:val="Compact"/>
            </w:pPr>
            <w:r>
              <w:t xml:space="preserve">0.964</w:t>
            </w:r>
          </w:p>
        </w:tc>
        <w:tc>
          <w:tcPr/>
          <w:p>
            <w:pPr>
              <w:pStyle w:val="Compact"/>
            </w:pPr>
            <w:r>
              <w:t xml:space="preserve">0.922</w:t>
            </w:r>
          </w:p>
        </w:tc>
        <w:tc>
          <w:tcPr/>
          <w:p>
            <w:pPr>
              <w:pStyle w:val="Compact"/>
            </w:pPr>
            <w:r>
              <w:t xml:space="preserve">deployed</w:t>
            </w:r>
          </w:p>
        </w:tc>
      </w:tr>
      <w:tr>
        <w:tc>
          <w:tcPr/>
          <w:p>
            <w:pPr>
              <w:pStyle w:val="Compact"/>
            </w:pPr>
            <w:r>
              <w:t xml:space="preserve">OX2</w:t>
            </w:r>
          </w:p>
        </w:tc>
        <w:tc>
          <w:tcPr/>
          <w:p>
            <w:pPr>
              <w:pStyle w:val="Compact"/>
            </w:pPr>
            <w:r>
              <w:t xml:space="preserve">14,679</w:t>
            </w:r>
          </w:p>
        </w:tc>
        <w:tc>
          <w:tcPr/>
          <w:p>
            <w:pPr>
              <w:pStyle w:val="Compact"/>
            </w:pPr>
            <w:r>
              <w:t xml:space="preserve">0.964</w:t>
            </w:r>
          </w:p>
        </w:tc>
        <w:tc>
          <w:tcPr/>
          <w:p>
            <w:pPr>
              <w:pStyle w:val="Compact"/>
            </w:pPr>
            <w:r>
              <w:t xml:space="preserve">0.885</w:t>
            </w:r>
          </w:p>
        </w:tc>
        <w:tc>
          <w:tcPr/>
          <w:p>
            <w:pPr>
              <w:pStyle w:val="Compact"/>
            </w:pPr>
            <w:r>
              <w:t xml:space="preserve">deployed</w:t>
            </w:r>
          </w:p>
        </w:tc>
      </w:tr>
      <w:tr>
        <w:tc>
          <w:tcPr/>
          <w:p>
            <w:pPr>
              <w:pStyle w:val="Compact"/>
            </w:pPr>
            <w:r>
              <w:t xml:space="preserve">P2X7</w:t>
            </w:r>
          </w:p>
        </w:tc>
        <w:tc>
          <w:tcPr/>
          <w:p>
            <w:pPr>
              <w:pStyle w:val="Compact"/>
            </w:pPr>
            <w:r>
              <w:t xml:space="preserve">11,122</w:t>
            </w:r>
          </w:p>
        </w:tc>
        <w:tc>
          <w:tcPr/>
          <w:p>
            <w:pPr>
              <w:pStyle w:val="Compact"/>
            </w:pPr>
            <w:r>
              <w:t xml:space="preserve">0.813</w:t>
            </w:r>
          </w:p>
        </w:tc>
        <w:tc>
          <w:tcPr/>
          <w:p>
            <w:pPr>
              <w:pStyle w:val="Compact"/>
            </w:pPr>
            <w:r>
              <w:t xml:space="preserve">0.465</w:t>
            </w:r>
          </w:p>
        </w:tc>
        <w:tc>
          <w:tcPr/>
          <w:p>
            <w:pPr>
              <w:pStyle w:val="Compact"/>
            </w:pPr>
            <w:r>
              <w:t xml:space="preserve">deployed, low-power flag</w:t>
            </w:r>
          </w:p>
        </w:tc>
      </w:tr>
      <w:tr>
        <w:tc>
          <w:tcPr/>
          <w:p>
            <w:pPr>
              <w:pStyle w:val="Compact"/>
            </w:pPr>
            <w:r>
              <w:t xml:space="preserve">PDE10A</w:t>
            </w:r>
          </w:p>
        </w:tc>
        <w:tc>
          <w:tcPr/>
          <w:p>
            <w:pPr>
              <w:pStyle w:val="Compact"/>
            </w:pPr>
            <w:r>
              <w:t xml:space="preserve">15,463</w:t>
            </w:r>
          </w:p>
        </w:tc>
        <w:tc>
          <w:tcPr/>
          <w:p>
            <w:pPr>
              <w:pStyle w:val="Compact"/>
            </w:pPr>
            <w:r>
              <w:t xml:space="preserve">0.962</w:t>
            </w:r>
          </w:p>
        </w:tc>
        <w:tc>
          <w:tcPr/>
          <w:p>
            <w:pPr>
              <w:pStyle w:val="Compact"/>
            </w:pPr>
            <w:r>
              <w:t xml:space="preserve">0.875</w:t>
            </w:r>
          </w:p>
        </w:tc>
        <w:tc>
          <w:tcPr/>
          <w:p>
            <w:pPr>
              <w:pStyle w:val="Compact"/>
            </w:pPr>
            <w:r>
              <w:t xml:space="preserve">deployed</w:t>
            </w:r>
          </w:p>
        </w:tc>
      </w:tr>
      <w:tr>
        <w:tc>
          <w:tcPr/>
          <w:p>
            <w:pPr>
              <w:pStyle w:val="Compact"/>
            </w:pPr>
            <w:r>
              <w:t xml:space="preserve">PDE4B</w:t>
            </w:r>
          </w:p>
        </w:tc>
        <w:tc>
          <w:tcPr/>
          <w:p>
            <w:pPr>
              <w:pStyle w:val="Compact"/>
            </w:pPr>
            <w:r>
              <w:t xml:space="preserve">4,332</w:t>
            </w:r>
          </w:p>
        </w:tc>
        <w:tc>
          <w:tcPr/>
          <w:p>
            <w:pPr>
              <w:pStyle w:val="Compact"/>
            </w:pPr>
            <w:r>
              <w:t xml:space="preserve">0.966</w:t>
            </w:r>
          </w:p>
        </w:tc>
        <w:tc>
          <w:tcPr/>
          <w:p>
            <w:pPr>
              <w:pStyle w:val="Compact"/>
            </w:pPr>
            <w:r>
              <w:t xml:space="preserve">0.867</w:t>
            </w:r>
          </w:p>
        </w:tc>
        <w:tc>
          <w:tcPr/>
          <w:p>
            <w:pPr>
              <w:pStyle w:val="Compact"/>
            </w:pPr>
            <w:r>
              <w:t xml:space="preserve">deployed</w:t>
            </w:r>
          </w:p>
        </w:tc>
      </w:tr>
      <w:tr>
        <w:tc>
          <w:tcPr/>
          <w:p>
            <w:pPr>
              <w:pStyle w:val="Compact"/>
            </w:pPr>
            <w:r>
              <w:t xml:space="preserve">RIPK1</w:t>
            </w:r>
          </w:p>
        </w:tc>
        <w:tc>
          <w:tcPr/>
          <w:p>
            <w:pPr>
              <w:pStyle w:val="Compact"/>
            </w:pPr>
            <w:r>
              <w:t xml:space="preserve">5,619</w:t>
            </w:r>
          </w:p>
        </w:tc>
        <w:tc>
          <w:tcPr/>
          <w:p>
            <w:pPr>
              <w:pStyle w:val="Compact"/>
            </w:pPr>
            <w:r>
              <w:t xml:space="preserve">0.966</w:t>
            </w:r>
          </w:p>
        </w:tc>
        <w:tc>
          <w:tcPr/>
          <w:p>
            <w:pPr>
              <w:pStyle w:val="Compact"/>
            </w:pPr>
            <w:r>
              <w:t xml:space="preserve">0.938</w:t>
            </w:r>
          </w:p>
        </w:tc>
        <w:tc>
          <w:tcPr/>
          <w:p>
            <w:pPr>
              <w:pStyle w:val="Compact"/>
            </w:pPr>
            <w:r>
              <w:t xml:space="preserve">deployed</w:t>
            </w:r>
          </w:p>
        </w:tc>
      </w:tr>
      <w:tr>
        <w:tc>
          <w:tcPr/>
          <w:p>
            <w:pPr>
              <w:pStyle w:val="Compact"/>
            </w:pPr>
            <w:r>
              <w:t xml:space="preserve">SERT</w:t>
            </w:r>
          </w:p>
        </w:tc>
        <w:tc>
          <w:tcPr/>
          <w:p>
            <w:pPr>
              <w:pStyle w:val="Compact"/>
            </w:pPr>
            <w:r>
              <w:t xml:space="preserve">11,429</w:t>
            </w:r>
          </w:p>
        </w:tc>
        <w:tc>
          <w:tcPr/>
          <w:p>
            <w:pPr>
              <w:pStyle w:val="Compact"/>
            </w:pPr>
            <w:r>
              <w:t xml:space="preserve">0.945</w:t>
            </w:r>
          </w:p>
        </w:tc>
        <w:tc>
          <w:tcPr/>
          <w:p>
            <w:pPr>
              <w:pStyle w:val="Compact"/>
            </w:pPr>
            <w:r>
              <w:t xml:space="preserve">0.835</w:t>
            </w:r>
          </w:p>
        </w:tc>
        <w:tc>
          <w:tcPr/>
          <w:p>
            <w:pPr>
              <w:pStyle w:val="Compact"/>
            </w:pPr>
            <w:r>
              <w:t xml:space="preserve">deployed</w:t>
            </w:r>
          </w:p>
        </w:tc>
      </w:tr>
      <w:tr>
        <w:tc>
          <w:tcPr/>
          <w:p>
            <w:pPr>
              <w:pStyle w:val="Compact"/>
            </w:pPr>
            <w:r>
              <w:t xml:space="preserve">SIRT1</w:t>
            </w:r>
          </w:p>
        </w:tc>
        <w:tc>
          <w:tcPr/>
          <w:p>
            <w:pPr>
              <w:pStyle w:val="Compact"/>
            </w:pPr>
            <w:r>
              <w:t xml:space="preserve">276</w:t>
            </w:r>
          </w:p>
        </w:tc>
        <w:tc>
          <w:tcPr/>
          <w:p>
            <w:pPr>
              <w:pStyle w:val="Compact"/>
            </w:pPr>
            <w:r>
              <w:t xml:space="preserve">0.792</w:t>
            </w:r>
          </w:p>
        </w:tc>
        <w:tc>
          <w:tcPr/>
          <w:p>
            <w:pPr>
              <w:pStyle w:val="Compact"/>
            </w:pPr>
            <w:r>
              <w:t xml:space="preserve">0.378</w:t>
            </w:r>
          </w:p>
        </w:tc>
        <w:tc>
          <w:tcPr/>
          <w:p>
            <w:pPr>
              <w:pStyle w:val="Compact"/>
            </w:pPr>
            <w:r>
              <w:t xml:space="preserve">deployed, low-power flag</w:t>
            </w:r>
          </w:p>
        </w:tc>
      </w:tr>
      <w:tr>
        <w:tc>
          <w:tcPr/>
          <w:p>
            <w:pPr>
              <w:pStyle w:val="Compact"/>
            </w:pPr>
            <w:r>
              <w:t xml:space="preserve">Sigma1</w:t>
            </w:r>
          </w:p>
        </w:tc>
        <w:tc>
          <w:tcPr/>
          <w:p>
            <w:pPr>
              <w:pStyle w:val="Compact"/>
            </w:pPr>
            <w:r>
              <w:t xml:space="preserve">7,427</w:t>
            </w:r>
          </w:p>
        </w:tc>
        <w:tc>
          <w:tcPr/>
          <w:p>
            <w:pPr>
              <w:pStyle w:val="Compact"/>
            </w:pPr>
            <w:r>
              <w:t xml:space="preserve">0.881</w:t>
            </w:r>
          </w:p>
        </w:tc>
        <w:tc>
          <w:tcPr/>
          <w:p>
            <w:pPr>
              <w:pStyle w:val="Compact"/>
            </w:pPr>
            <w:r>
              <w:t xml:space="preserve">0.600</w:t>
            </w:r>
          </w:p>
        </w:tc>
        <w:tc>
          <w:tcPr/>
          <w:p>
            <w:pPr>
              <w:pStyle w:val="Compact"/>
            </w:pPr>
            <w:r>
              <w:t xml:space="preserve">deployed</w:t>
            </w:r>
          </w:p>
        </w:tc>
      </w:tr>
      <w:tr>
        <w:tc>
          <w:tcPr/>
          <w:p>
            <w:pPr>
              <w:pStyle w:val="Compact"/>
            </w:pPr>
            <w:r>
              <w:t xml:space="preserve">TAAR1</w:t>
            </w:r>
          </w:p>
        </w:tc>
        <w:tc>
          <w:tcPr/>
          <w:p>
            <w:pPr>
              <w:pStyle w:val="Compact"/>
            </w:pPr>
            <w:r>
              <w:t xml:space="preserve">82</w:t>
            </w:r>
          </w:p>
        </w:tc>
        <w:tc>
          <w:tcPr/>
          <w:p>
            <w:pPr>
              <w:pStyle w:val="Compact"/>
            </w:pPr>
            <w:r>
              <w:t xml:space="preserve">0.780</w:t>
            </w:r>
          </w:p>
        </w:tc>
        <w:tc>
          <w:tcPr/>
          <w:p>
            <w:pPr>
              <w:pStyle w:val="Compact"/>
            </w:pPr>
            <w:r>
              <w:t xml:space="preserve">0.355</w:t>
            </w:r>
          </w:p>
        </w:tc>
        <w:tc>
          <w:tcPr/>
          <w:p>
            <w:pPr>
              <w:pStyle w:val="Compact"/>
            </w:pPr>
            <w:r>
              <w:t xml:space="preserve">deployed, low-power flag</w:t>
            </w:r>
          </w:p>
        </w:tc>
      </w:tr>
      <w:tr>
        <w:tc>
          <w:tcPr/>
          <w:p>
            <w:pPr>
              <w:pStyle w:val="Compact"/>
            </w:pPr>
            <w:r>
              <w:t xml:space="preserve">a3b4nAChR</w:t>
            </w:r>
          </w:p>
        </w:tc>
        <w:tc>
          <w:tcPr/>
          <w:p>
            <w:pPr>
              <w:pStyle w:val="Compact"/>
            </w:pPr>
            <w:r>
              <w:t xml:space="preserve">760</w:t>
            </w:r>
          </w:p>
        </w:tc>
        <w:tc>
          <w:tcPr/>
          <w:p>
            <w:pPr>
              <w:pStyle w:val="Compact"/>
            </w:pPr>
            <w:r>
              <w:t xml:space="preserve">0.974</w:t>
            </w:r>
          </w:p>
        </w:tc>
        <w:tc>
          <w:tcPr/>
          <w:p>
            <w:pPr>
              <w:pStyle w:val="Compact"/>
            </w:pPr>
            <w:r>
              <w:t xml:space="preserve">0.906</w:t>
            </w:r>
          </w:p>
        </w:tc>
        <w:tc>
          <w:tcPr/>
          <w:p>
            <w:pPr>
              <w:pStyle w:val="Compact"/>
            </w:pPr>
            <w:r>
              <w:t xml:space="preserve">deployed</w:t>
            </w:r>
          </w:p>
        </w:tc>
      </w:tr>
      <w:tr>
        <w:tc>
          <w:tcPr/>
          <w:p>
            <w:pPr>
              <w:pStyle w:val="Compact"/>
            </w:pPr>
            <w:r>
              <w:t xml:space="preserve">a4b2nAChR</w:t>
            </w:r>
          </w:p>
        </w:tc>
        <w:tc>
          <w:tcPr/>
          <w:p>
            <w:pPr>
              <w:pStyle w:val="Compact"/>
            </w:pPr>
            <w:r>
              <w:t xml:space="preserve">1,835</w:t>
            </w:r>
          </w:p>
        </w:tc>
        <w:tc>
          <w:tcPr/>
          <w:p>
            <w:pPr>
              <w:pStyle w:val="Compact"/>
            </w:pPr>
            <w:r>
              <w:t xml:space="preserve">0.923</w:t>
            </w:r>
          </w:p>
        </w:tc>
        <w:tc>
          <w:tcPr/>
          <w:p>
            <w:pPr>
              <w:pStyle w:val="Compact"/>
            </w:pPr>
            <w:r>
              <w:t xml:space="preserve">0.754</w:t>
            </w:r>
          </w:p>
        </w:tc>
        <w:tc>
          <w:tcPr/>
          <w:p>
            <w:pPr>
              <w:pStyle w:val="Compact"/>
            </w:pPr>
            <w:r>
              <w:t xml:space="preserve">deployed</w:t>
            </w:r>
          </w:p>
        </w:tc>
      </w:tr>
      <w:tr>
        <w:tc>
          <w:tcPr/>
          <w:p>
            <w:pPr>
              <w:pStyle w:val="Compact"/>
            </w:pPr>
            <w:r>
              <w:t xml:space="preserve">a7nAChR</w:t>
            </w:r>
          </w:p>
        </w:tc>
        <w:tc>
          <w:tcPr/>
          <w:p>
            <w:pPr>
              <w:pStyle w:val="Compact"/>
            </w:pPr>
            <w:r>
              <w:t xml:space="preserve">1,285</w:t>
            </w:r>
          </w:p>
        </w:tc>
        <w:tc>
          <w:tcPr/>
          <w:p>
            <w:pPr>
              <w:pStyle w:val="Compact"/>
            </w:pPr>
            <w:r>
              <w:t xml:space="preserve">0.763</w:t>
            </w:r>
          </w:p>
        </w:tc>
        <w:tc>
          <w:tcPr/>
          <w:p>
            <w:pPr>
              <w:pStyle w:val="Compact"/>
            </w:pPr>
            <w:r>
              <w:t xml:space="preserve">0.571</w:t>
            </w:r>
          </w:p>
        </w:tc>
        <w:tc>
          <w:tcPr/>
          <w:p>
            <w:pPr>
              <w:pStyle w:val="Compact"/>
            </w:pPr>
            <w:r>
              <w:t xml:space="preserve">deployed</w:t>
            </w:r>
          </w:p>
        </w:tc>
      </w:tr>
      <w:tr>
        <w:tc>
          <w:tcPr/>
          <w:p>
            <w:pPr>
              <w:pStyle w:val="Compact"/>
            </w:pPr>
            <w:r>
              <w:t xml:space="preserve">mGluR5</w:t>
            </w:r>
          </w:p>
        </w:tc>
        <w:tc>
          <w:tcPr/>
          <w:p>
            <w:pPr>
              <w:pStyle w:val="Compact"/>
            </w:pPr>
            <w:r>
              <w:t xml:space="preserve">4,511</w:t>
            </w:r>
          </w:p>
        </w:tc>
        <w:tc>
          <w:tcPr/>
          <w:p>
            <w:pPr>
              <w:pStyle w:val="Compact"/>
            </w:pPr>
            <w:r>
              <w:t xml:space="preserve">0.893</w:t>
            </w:r>
          </w:p>
        </w:tc>
        <w:tc>
          <w:tcPr/>
          <w:p>
            <w:pPr>
              <w:pStyle w:val="Compact"/>
            </w:pPr>
            <w:r>
              <w:t xml:space="preserve">0.723</w:t>
            </w:r>
          </w:p>
        </w:tc>
        <w:tc>
          <w:tcPr/>
          <w:p>
            <w:pPr>
              <w:pStyle w:val="Compact"/>
            </w:pPr>
            <w:r>
              <w:t xml:space="preserve">deployed</w:t>
            </w:r>
          </w:p>
        </w:tc>
      </w:tr>
      <w:tr>
        <w:tc>
          <w:tcPr/>
          <w:p>
            <w:pPr>
              <w:pStyle w:val="Compact"/>
            </w:pPr>
            <w:r>
              <w:t xml:space="preserve">mTOR</w:t>
            </w:r>
          </w:p>
        </w:tc>
        <w:tc>
          <w:tcPr/>
          <w:p>
            <w:pPr>
              <w:pStyle w:val="Compact"/>
            </w:pPr>
            <w:r>
              <w:t xml:space="preserve">11,510</w:t>
            </w:r>
          </w:p>
        </w:tc>
        <w:tc>
          <w:tcPr/>
          <w:p>
            <w:pPr>
              <w:pStyle w:val="Compact"/>
            </w:pPr>
            <w:r>
              <w:t xml:space="preserve">0.983</w:t>
            </w:r>
          </w:p>
        </w:tc>
        <w:tc>
          <w:tcPr/>
          <w:p>
            <w:pPr>
              <w:pStyle w:val="Compact"/>
            </w:pPr>
            <w:r>
              <w:t xml:space="preserve">0.941</w:t>
            </w:r>
          </w:p>
        </w:tc>
        <w:tc>
          <w:tcPr/>
          <w:p>
            <w:pPr>
              <w:pStyle w:val="Compact"/>
            </w:pPr>
            <w:r>
              <w:t xml:space="preserve">deployed</w:t>
            </w:r>
          </w:p>
        </w:tc>
      </w:tr>
    </w:tbl>
    <w:p>
      <w:pPr>
        <w:pStyle w:val="BodyText"/>
      </w:pPr>
      <w:r>
        <w:t xml:space="preserve">6 deployed endpoints fall below the reliability gate on the corrected sensitivity figure</w:t>
      </w:r>
      <w:r>
        <w:t xml:space="preserve"> </w:t>
      </w:r>
      <w:r>
        <w:t xml:space="preserve">and carry a low-power marker on any negative call in the interface, rather than being withdrawn:</w:t>
      </w:r>
      <w:r>
        <w:t xml:space="preserve"> </w:t>
      </w:r>
      <w:r>
        <w:t xml:space="preserve">each holds its background false-positive rate at or below target, so each is weak rather than</w:t>
      </w:r>
      <w:r>
        <w:t xml:space="preserve"> </w:t>
      </w:r>
      <w:r>
        <w:t xml:space="preserve">misleading.</w:t>
      </w:r>
    </w:p>
    <w:bookmarkEnd w:id="22"/>
    <w:bookmarkStart w:id="23" w:name="endpoints-withdrawn-and-why"/>
    <w:p>
      <w:pPr>
        <w:pStyle w:val="Heading2"/>
      </w:pPr>
      <w:r>
        <w:t xml:space="preserve">6. Endpoints withdrawn, and why</w:t>
      </w:r>
    </w:p>
    <w:p>
      <w:pPr>
        <w:pStyle w:val="FirstParagraph"/>
      </w:pPr>
      <w:r>
        <w:t xml:space="preserve">An endpoint is deployed only if a threshold exists that recovers real ligands without firing on</w:t>
      </w:r>
      <w:r>
        <w:t xml:space="preserve"> </w:t>
      </w:r>
      <w:r>
        <w:t xml:space="preserve">unrelated chemistry, and only if it discriminates better than chance against its own held-out measured</w:t>
      </w:r>
      <w:r>
        <w:t xml:space="preserve"> </w:t>
      </w:r>
      <w:r>
        <w:t xml:space="preserve">inactives. 5 endpoints were trained, tested against both conditions, and withdrawn.</w:t>
      </w:r>
      <w:r>
        <w:t xml:space="preserve"> </w:t>
      </w:r>
      <w:r>
        <w:t xml:space="preserve">They are recorded here rather than silently dropped, because a panel that reports only what survived</w:t>
      </w:r>
      <w:r>
        <w:t xml:space="preserve"> </w:t>
      </w:r>
      <w:r>
        <w:t xml:space="preserve">is a selection, not an inventory.</w:t>
      </w:r>
    </w:p>
    <w:p>
      <w:pPr>
        <w:pStyle w:val="Compact"/>
        <w:numPr>
          <w:ilvl w:val="0"/>
          <w:numId w:val="1001"/>
        </w:numPr>
      </w:pPr>
      <w:r>
        <w:rPr>
          <w:b/>
          <w:bCs/>
        </w:rPr>
        <w:t xml:space="preserve">GluA2.</w:t>
      </w:r>
      <w:r>
        <w:t xml:space="preserve"> </w:t>
      </w:r>
      <w:r>
        <w:t xml:space="preserve">fires on glucose and atenolol at its calibrated threshold of 0.629, reaching 0.719 on a trivial molecule, with a random-chemistry false-positive rate of 0.072 and a sensitivity of 0.103. Withdrawn on the current fits, having previously passed.</w:t>
      </w:r>
    </w:p>
    <w:p>
      <w:pPr>
        <w:pStyle w:val="Compact"/>
        <w:numPr>
          <w:ilvl w:val="0"/>
          <w:numId w:val="1001"/>
        </w:numPr>
      </w:pPr>
      <w:r>
        <w:rPr>
          <w:b/>
          <w:bCs/>
        </w:rPr>
        <w:t xml:space="preserve">NFKB1.</w:t>
      </w:r>
      <w:r>
        <w:t xml:space="preserve"> </w:t>
      </w:r>
      <w:r>
        <w:t xml:space="preserve">added to test natural-product coverage. Fires on glucose, urea, acetate, glycine and lactate at its calibrated threshold of 0.416, and scores AUROC 0.459 against its own held-out measured inactives at a sensitivity of 0.000: it recovers no active while calling five trivial metabolites binders. Of its labelled NPASS records 0.3 per cent are a direct binding constant; 344 of 362 are Potency. Same cause as NRF2.</w:t>
      </w:r>
    </w:p>
    <w:p>
      <w:pPr>
        <w:pStyle w:val="Compact"/>
        <w:numPr>
          <w:ilvl w:val="0"/>
          <w:numId w:val="1001"/>
        </w:numPr>
      </w:pPr>
      <w:r>
        <w:rPr>
          <w:b/>
          <w:bCs/>
        </w:rPr>
        <w:t xml:space="preserve">NR3C1.</w:t>
      </w:r>
      <w:r>
        <w:t xml:space="preserve"> </w:t>
      </w:r>
      <w:r>
        <w:t xml:space="preserve">added to test natural-product coverage. It passes the specificity audit, firing on no trivial molecule, and fails on discrimination instead: AUROC 0.410 against its own held-out measured inactives is below chance, at a sensitivity of 0.167. The only one of the three with real binding data (14.8 per cent Ki or Kd) and the one with too few compounds to fit: 140 after deduplication.</w:t>
      </w:r>
    </w:p>
    <w:p>
      <w:pPr>
        <w:pStyle w:val="Compact"/>
        <w:numPr>
          <w:ilvl w:val="0"/>
          <w:numId w:val="1001"/>
        </w:numPr>
      </w:pPr>
      <w:r>
        <w:rPr>
          <w:b/>
          <w:bCs/>
        </w:rPr>
        <w:t xml:space="preserve">NRF2.</w:t>
      </w:r>
      <w:r>
        <w:t xml:space="preserve"> </w:t>
      </w:r>
      <w:r>
        <w:t xml:space="preserve">added to test natural-product coverage. Its random-chemistry false-positive rate is 0.057, above the 5 per cent the panel holds to, and reaching that rate would need a threshold of 0.303 against a calibrated 0.301. On the refit it discriminates better than it did (AUROC 0.789 against its own held-out measured inactives, sensitivity 0.545) but it still cannot be given a cut that controls false positives. Of its labelled NPASS records 0.0 per cent are a direct binding constant (Ki or Kd); 1,019 of 1,029 are Potency, a pooled functional readout that does not define a binding class a ligand fingerprint can separate.</w:t>
      </w:r>
    </w:p>
    <w:p>
      <w:pPr>
        <w:pStyle w:val="Compact"/>
        <w:numPr>
          <w:ilvl w:val="0"/>
          <w:numId w:val="1001"/>
        </w:numPr>
      </w:pPr>
      <w:r>
        <w:rPr>
          <w:b/>
          <w:bCs/>
        </w:rPr>
        <w:t xml:space="preserve">Nav1_1.</w:t>
      </w:r>
      <w:r>
        <w:t xml:space="preserve"> </w:t>
      </w:r>
      <w:r>
        <w:t xml:space="preserve">fires on glucose, urea, glycine, lactate and atenolol at its calibrated threshold of 0.571, with a random-chemistry false-positive rate of 0.080. Holding 5 per cent on random chemistry would need 0.594, and its sensitivity at the calibrated cut is already 0.120, so no threshold separates trivial metabolites from real ligands. Its AUROC of 0.952 measures ranking, which is not the quantity a deployed cut needs.</w:t>
      </w:r>
    </w:p>
    <w:bookmarkEnd w:id="23"/>
    <w:bookmarkStart w:id="24" w:name="the-candidate-target-survey"/>
    <w:p>
      <w:pPr>
        <w:pStyle w:val="Heading2"/>
      </w:pPr>
      <w:r>
        <w:t xml:space="preserve">7. The candidate-target survey</w:t>
      </w:r>
    </w:p>
    <w:p>
      <w:pPr>
        <w:pStyle w:val="FirstParagraph"/>
      </w:pPr>
      <w:r>
        <w:t xml:space="preserve">Beyond the panel described above, 1,688 candidate targets were surveyed for whether enough</w:t>
      </w:r>
      <w:r>
        <w:t xml:space="preserve"> </w:t>
      </w:r>
      <w:r>
        <w:t xml:space="preserve">measured data exists to train and honestly validate a binder classifier (at least 60 compounds, at</w:t>
      </w:r>
      <w:r>
        <w:t xml:space="preserve"> </w:t>
      </w:r>
      <w:r>
        <w:t xml:space="preserve">least 15 per class). 66 cleared that bar</w:t>
      </w:r>
      <w:r>
        <w:t xml:space="preserve"> </w:t>
      </w:r>
      <w:r>
        <w:t xml:space="preserve">(</w:t>
      </w:r>
      <w:r>
        <w:rPr>
          <w:rStyle w:val="VerbatimChar"/>
        </w:rPr>
        <w:t xml:space="preserve">results/tables/np_target_survey.csv</w:t>
      </w:r>
      <w:r>
        <w:t xml:space="preserve">; Figure 10, panel C,</w:t>
      </w:r>
      <w:r>
        <w:t xml:space="preserve"> </w:t>
      </w:r>
      <w:r>
        <w:rPr>
          <w:rStyle w:val="VerbatimChar"/>
        </w:rPr>
        <w:t xml:space="preserve">figures/Figure10_endpoint_selection.png</w:t>
      </w:r>
      <w:r>
        <w:t xml:space="preserve">).</w:t>
      </w:r>
      <w:r>
        <w:t xml:space="preserve"> </w:t>
      </w:r>
      <w:r>
        <w:t xml:space="preserve">Three of those, NRF2, NFKB1, NR3C1, were added specifically to test whether the panel’s methodology</w:t>
      </w:r>
      <w:r>
        <w:t xml:space="preserve"> </w:t>
      </w:r>
      <w:r>
        <w:t xml:space="preserve">extends to targets relevant to natural-product coverage. The outcome is reported whichever way it</w:t>
      </w:r>
      <w:r>
        <w:t xml:space="preserve"> </w:t>
      </w:r>
      <w:r>
        <w:t xml:space="preserve">fell rather than only where it succeeded: NRF2 (withdrawn), NFKB1 (withdrawn), NR3C1 (withdrawn). Section 6 above gives the specific</w:t>
      </w:r>
      <w:r>
        <w:t xml:space="preserve"> </w:t>
      </w:r>
      <w:r>
        <w:t xml:space="preserve">reason each failed.</w:t>
      </w:r>
    </w:p>
    <w:p>
      <w:pPr>
        <w:pStyle w:val="BodyText"/>
      </w:pPr>
      <w:r>
        <w:t xml:space="preserve">Figure 10 also shows the two conditions that decide deployment more generally: panel A shows that</w:t>
      </w:r>
      <w:r>
        <w:t xml:space="preserve"> </w:t>
      </w:r>
      <w:r>
        <w:t xml:space="preserve">more training data buys discrimination with diminishing returns, and panel B shows that</w:t>
      </w:r>
      <w:r>
        <w:t xml:space="preserve"> </w:t>
      </w:r>
      <w:r>
        <w:t xml:space="preserve">discrimination is not sufficient on its own, a usable threshold is what actually gates deployment,</w:t>
      </w:r>
      <w:r>
        <w:t xml:space="preserve"> </w:t>
      </w:r>
      <w:r>
        <w:t xml:space="preserve">which is why endpoints that rank well by AUROC can still be withheld.</w:t>
      </w:r>
    </w:p>
    <w:bookmarkEnd w:id="24"/>
    <w:bookmarkStart w:id="25" w:name="data-sources-and-standardisation"/>
    <w:p>
      <w:pPr>
        <w:pStyle w:val="Heading2"/>
      </w:pPr>
      <w:r>
        <w:t xml:space="preserve">8. Data sources and standardisation</w:t>
      </w:r>
    </w:p>
    <w:p>
      <w:pPr>
        <w:pStyle w:val="FirstParagraph"/>
      </w:pPr>
      <w:r>
        <w:t xml:space="preserve">Target-engagement and exposure labels are pooled from ChEMBL (version 37, release 2026-05-01) and</w:t>
      </w:r>
      <w:r>
        <w:t xml:space="preserve"> </w:t>
      </w:r>
      <w:r>
        <w:t xml:space="preserve">BindingDB at compound level; blood-brain-barrier labels come from B3DB augmented with FDA-curated</w:t>
      </w:r>
      <w:r>
        <w:t xml:space="preserve"> </w:t>
      </w:r>
      <w:r>
        <w:t xml:space="preserve">approved drugs; the exposure and ADME endpoints beyond BBB use measured sets from Therapeutics Data</w:t>
      </w:r>
      <w:r>
        <w:t xml:space="preserve"> </w:t>
      </w:r>
      <w:r>
        <w:t xml:space="preserve">Commons, MoleculeNet, B3DB and ChEMBL; the three natural-product-coverage endpoints (section 7) use</w:t>
      </w:r>
      <w:r>
        <w:t xml:space="preserve"> </w:t>
      </w:r>
      <w:r>
        <w:t xml:space="preserve">NPASS 3.0. No value is imputed, hand-annotated, or drawn from qualitative curator annotation; every</w:t>
      </w:r>
      <w:r>
        <w:t xml:space="preserve"> </w:t>
      </w:r>
      <w:r>
        <w:t xml:space="preserve">label is a measured experimental value, standardised identically before use: reduced to the largest</w:t>
      </w:r>
      <w:r>
        <w:t xml:space="preserve"> </w:t>
      </w:r>
      <w:r>
        <w:t xml:space="preserve">organic fragment, neutralised, sanitised, and keyed by the InChIKey of that standardised parent.</w:t>
      </w:r>
      <w:r>
        <w:t xml:space="preserve"> </w:t>
      </w:r>
      <w:r>
        <w:t xml:space="preserve">Chirality is excluded from the representation, so rows identical in feature space are collapsed</w:t>
      </w:r>
      <w:r>
        <w:t xml:space="preserve"> </w:t>
      </w:r>
      <w:r>
        <w:t xml:space="preserve">before any split is drawn. Full provenance, including which compounds came from which source per</w:t>
      </w:r>
      <w:r>
        <w:t xml:space="preserve"> </w:t>
      </w:r>
      <w:r>
        <w:t xml:space="preserve">endpoint, is in</w:t>
      </w:r>
      <w:r>
        <w:t xml:space="preserve"> </w:t>
      </w:r>
      <w:r>
        <w:rPr>
          <w:rStyle w:val="VerbatimChar"/>
        </w:rPr>
        <w:t xml:space="preserve">results/tables/endpoint_rebuild_provenance.csv</w:t>
      </w:r>
      <w:r>
        <w:t xml:space="preserve">, and source licences are recorded in</w:t>
      </w:r>
      <w:r>
        <w:t xml:space="preserve"> </w:t>
      </w:r>
      <w:r>
        <w:rPr>
          <w:rStyle w:val="VerbatimChar"/>
        </w:rPr>
        <w:t xml:space="preserve">data/raw/measured_endpoints_SOURCE.md</w:t>
      </w:r>
      <w:r>
        <w:t xml:space="preserve">.</w:t>
      </w:r>
    </w:p>
    <w:p>
      <w:pPr>
        <w:pStyle w:val="BodyText"/>
      </w:pPr>
      <w:r>
        <w:t xml:space="preserve">A compound assayed and found inactive is frequently deposited only as a censored bound</w:t>
      </w:r>
      <w:r>
        <w:t xml:space="preserve"> </w:t>
      </w:r>
      <w:r>
        <w:t xml:space="preserve">(</w:t>
      </w:r>
      <w:r>
        <w:rPr>
          <w:rStyle w:val="VerbatimChar"/>
        </w:rPr>
        <w:t xml:space="preserve">standard_relation</w:t>
      </w:r>
      <w:r>
        <w:t xml:space="preserve"> </w:t>
      </w:r>
      <w:r>
        <w:t xml:space="preserve">of</w:t>
      </w:r>
      <w:r>
        <w:t xml:space="preserve"> </w:t>
      </w:r>
      <w:r>
        <w:rPr>
          <w:rStyle w:val="VerbatimChar"/>
        </w:rPr>
        <w:t xml:space="preserve">&gt;</w:t>
      </w:r>
      <w:r>
        <w:t xml:space="preserve"> </w:t>
      </w:r>
      <w:r>
        <w:t xml:space="preserve">with a concentration), which the conventional pChEMBL-only query</w:t>
      </w:r>
      <w:r>
        <w:t xml:space="preserve"> </w:t>
      </w:r>
      <w:r>
        <w:t xml:space="preserve">discards. This project recovers those rows as measured non-binders wherever the whole interval they</w:t>
      </w:r>
      <w:r>
        <w:t xml:space="preserve"> </w:t>
      </w:r>
      <w:r>
        <w:t xml:space="preserve">define falls on one side of the activity cut, rather than training the negative class on</w:t>
      </w:r>
      <w:r>
        <w:t xml:space="preserve"> </w:t>
      </w:r>
      <w:r>
        <w:t xml:space="preserve">property-matched decoys; the recovery and its effect on class balance are documented in</w:t>
      </w:r>
      <w:r>
        <w:t xml:space="preserve"> </w:t>
      </w:r>
      <w:r>
        <w:rPr>
          <w:rStyle w:val="VerbatimChar"/>
        </w:rPr>
        <w:t xml:space="preserve">results/tables/expansion_inactives.csv</w:t>
      </w:r>
      <w:r>
        <w:t xml:space="preserve">.</w:t>
      </w:r>
    </w:p>
    <w:bookmarkEnd w:id="25"/>
    <w:bookmarkStart w:id="26" w:name="traintest-discipline"/>
    <w:p>
      <w:pPr>
        <w:pStyle w:val="Heading2"/>
      </w:pPr>
      <w:r>
        <w:t xml:space="preserve">9. Train/test discipline</w:t>
      </w:r>
    </w:p>
    <w:p>
      <w:pPr>
        <w:pStyle w:val="FirstParagraph"/>
      </w:pPr>
      <w:r>
        <w:t xml:space="preserve">Every core and exposure endpoint is cross-validated ten-fold under both a random split and a</w:t>
      </w:r>
      <w:r>
        <w:t xml:space="preserve"> </w:t>
      </w:r>
      <w:r>
        <w:t xml:space="preserve">scaffold-grouped split (Bemis-Murcko), so the distance between the two is the honest statement of how</w:t>
      </w:r>
      <w:r>
        <w:t xml:space="preserve"> </w:t>
      </w:r>
      <w:r>
        <w:t xml:space="preserve">far a model generalises to structurally novel chemistry</w:t>
      </w:r>
      <w:r>
        <w:t xml:space="preserve"> </w:t>
      </w:r>
      <w:r>
        <w:t xml:space="preserve">(</w:t>
      </w:r>
      <w:r>
        <w:rPr>
          <w:rStyle w:val="VerbatimChar"/>
        </w:rPr>
        <w:t xml:space="preserve">results/tables/rf_cv_folds.csv</w:t>
      </w:r>
      <w:r>
        <w:t xml:space="preserve">,</w:t>
      </w:r>
      <w:r>
        <w:t xml:space="preserve"> </w:t>
      </w:r>
      <w:r>
        <w:rPr>
          <w:rStyle w:val="VerbatimChar"/>
        </w:rPr>
        <w:t xml:space="preserve">rf_cv_summary.csv</w:t>
      </w:r>
      <w:r>
        <w:t xml:space="preserve">). Binder classifiers are cross-validated</w:t>
      </w:r>
      <w:r>
        <w:t xml:space="preserve"> </w:t>
      </w:r>
      <w:r>
        <w:t xml:space="preserve">scaffold-grouped only, against their measured inactives</w:t>
      </w:r>
      <w:r>
        <w:t xml:space="preserve"> </w:t>
      </w:r>
      <w:r>
        <w:t xml:space="preserve">(</w:t>
      </w:r>
      <w:r>
        <w:rPr>
          <w:rStyle w:val="VerbatimChar"/>
        </w:rPr>
        <w:t xml:space="preserve">results/tables/binder_cv_folds.csv</w:t>
      </w:r>
      <w:r>
        <w:t xml:space="preserve">,</w:t>
      </w:r>
      <w:r>
        <w:t xml:space="preserve"> </w:t>
      </w:r>
      <w:r>
        <w:rPr>
          <w:rStyle w:val="VerbatimChar"/>
        </w:rPr>
        <w:t xml:space="preserve">binder_cv_summary.csv</w:t>
      </w:r>
      <w:r>
        <w:t xml:space="preserve">). For every endpoint the same compound</w:t>
      </w:r>
      <w:r>
        <w:t xml:space="preserve"> </w:t>
      </w:r>
      <w:r>
        <w:t xml:space="preserve">never appears on both sides of a fold. Beyond cross-validation, the barrier model and the wider panel</w:t>
      </w:r>
      <w:r>
        <w:t xml:space="preserve"> </w:t>
      </w:r>
      <w:r>
        <w:t xml:space="preserve">are further tested against FDA-curated approved drugs absent from the training source</w:t>
      </w:r>
      <w:r>
        <w:t xml:space="preserve"> </w:t>
      </w:r>
      <w:r>
        <w:t xml:space="preserve">(</w:t>
      </w:r>
      <w:r>
        <w:rPr>
          <w:rStyle w:val="VerbatimChar"/>
        </w:rPr>
        <w:t xml:space="preserve">results/tables/external_bbb_validation.csv</w:t>
      </w:r>
      <w:r>
        <w:t xml:space="preserve">) and under a prospective, date-based refit</w:t>
      </w:r>
      <w:r>
        <w:t xml:space="preserve"> </w:t>
      </w:r>
      <w:r>
        <w:t xml:space="preserve">(</w:t>
      </w:r>
      <w:r>
        <w:rPr>
          <w:rStyle w:val="VerbatimChar"/>
        </w:rPr>
        <w:t xml:space="preserve">results/tables/external_prospective.csv</w:t>
      </w:r>
      <w:r>
        <w:t xml:space="preserve">); both are reported in the manuscript’s Results section</w:t>
      </w:r>
      <w:r>
        <w:t xml:space="preserve"> </w:t>
      </w:r>
      <w:r>
        <w:t xml:space="preserve">and are not repeated here.</w:t>
      </w:r>
    </w:p>
    <w:p>
      <w:pPr>
        <w:pStyle w:val="BodyText"/>
      </w:pPr>
      <w:r>
        <w:t xml:space="preserve">Exactly which compounds trained which endpoint, and the numeric feature vector each one was reduced</w:t>
      </w:r>
      <w:r>
        <w:t xml:space="preserve"> </w:t>
      </w:r>
      <w:r>
        <w:t xml:space="preserve">to, is not asserted here but laid out directly:</w:t>
      </w:r>
      <w:r>
        <w:t xml:space="preserve"> </w:t>
      </w:r>
      <w:r>
        <w:rPr>
          <w:rStyle w:val="VerbatimChar"/>
        </w:rPr>
        <w:t xml:space="preserve">results/tables/master_training_usage.csv</w:t>
      </w:r>
      <w:r>
        <w:t xml:space="preserve"> </w:t>
      </w:r>
      <w:r>
        <w:t xml:space="preserve">gives one</w:t>
      </w:r>
      <w:r>
        <w:t xml:space="preserve"> </w:t>
      </w:r>
      <w:r>
        <w:t xml:space="preserve">row per endpoint-compound pair actually used, and</w:t>
      </w:r>
      <w:r>
        <w:t xml:space="preserve"> </w:t>
      </w:r>
      <w:r>
        <w:rPr>
          <w:rStyle w:val="VerbatimChar"/>
        </w:rPr>
        <w:t xml:space="preserve">results/tables/master_feature_vectors.csv</w:t>
      </w:r>
      <w:r>
        <w:t xml:space="preserve"> </w:t>
      </w:r>
      <w:r>
        <w:t xml:space="preserve">gives</w:t>
      </w:r>
      <w:r>
        <w:t xml:space="preserve"> </w:t>
      </w:r>
      <w:r>
        <w:t xml:space="preserve">the full 1,036-column vector for every distinct compound, keyed by InChIKey so the two join directly.</w:t>
      </w:r>
      <w:r>
        <w:t xml:space="preserve"> </w:t>
      </w:r>
      <w:r>
        <w:t xml:space="preserve">Every formula in this document that turns such a vector into a reported score, prediction set or</w:t>
      </w:r>
      <w:r>
        <w:t xml:space="preserve"> </w:t>
      </w:r>
      <w:r>
        <w:t xml:space="preserve">disease score is walked through with a live worked example in</w:t>
      </w:r>
      <w:r>
        <w:t xml:space="preserve"> </w:t>
      </w:r>
      <w:r>
        <w:rPr>
          <w:rStyle w:val="VerbatimChar"/>
        </w:rPr>
        <w:t xml:space="preserve">docs/ML_METHODS_AND_FORMULAS.md</w:t>
      </w:r>
      <w:r>
        <w:t xml:space="preserve">.</w:t>
      </w:r>
    </w:p>
    <w:p>
      <w:r>
        <w:pict>
          <v:rect style="width:0;height:1.5pt" o:hralign="center" o:hrstd="t" o:hr="t"/>
        </w:pict>
      </w:r>
    </w:p>
    <w:p>
      <w:pPr>
        <w:pStyle w:val="FirstParagraph"/>
      </w:pPr>
      <w:r>
        <w:rPr>
          <w:i/>
          <w:iCs/>
        </w:rPr>
        <w:t xml:space="preserve">Generated by</w:t>
      </w:r>
      <w:r>
        <w:rPr>
          <w:i/>
          <w:iCs/>
        </w:rPr>
        <w:t xml:space="preserve"> </w:t>
      </w:r>
      <w:r>
        <w:rPr>
          <w:rStyle w:val="VerbatimChar"/>
          <w:i/>
          <w:iCs/>
        </w:rPr>
        <w:t xml:space="preserve">tools/build_endpoint_justification.py</w:t>
      </w:r>
      <w:r>
        <w:rPr>
          <w:i/>
          <w:iCs/>
        </w:rPr>
        <w:t xml:space="preserve"> </w:t>
      </w:r>
      <w:r>
        <w:rPr>
          <w:i/>
          <w:iCs/>
        </w:rPr>
        <w:t xml:space="preserve">from the artefacts named beside each figure</w:t>
      </w:r>
      <w:r>
        <w:rPr>
          <w:i/>
          <w:iCs/>
        </w:rPr>
        <w:t xml:space="preserve"> </w:t>
      </w:r>
      <w:r>
        <w:rPr>
          <w:i/>
          <w:iCs/>
        </w:rPr>
        <w:t xml:space="preserve">above. Regenerate after any change to the panel with</w:t>
      </w:r>
      <w:r>
        <w:rPr>
          <w:i/>
          <w:iCs/>
        </w:rPr>
        <w:t xml:space="preserve"> </w:t>
      </w:r>
      <w:r>
        <w:rPr>
          <w:rStyle w:val="VerbatimChar"/>
          <w:i/>
          <w:iCs/>
        </w:rPr>
        <w:t xml:space="preserve">python tools/build_endpoint_justification.py</w:t>
      </w:r>
      <w:r>
        <w:rPr>
          <w:i/>
          <w:iCs/>
        </w:rPr>
        <w:t xml:space="preserve">.</w:t>
      </w:r>
    </w:p>
    <w:bookmarkEnd w:id="26"/>
    <w:bookmarkEnd w:id="27"/>
    <w:sectPr>
      <w:footerReference r:id="rId9" w:type="default"/>
      <w:footnotePr>
        <w:numRestart w:val="eachSect"/>
      </w:footnotePr>
      <w:pgSz w:h="16838" w:w="11906"/>
      <w:pgMar w:bottom="1440" w:left="1440" w:right="1440" w:top="1440"/>
      <w:lnNumType w:countBy="1" w:distance="360"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uppressLineNumbers/>
      <w:jc w:val="center"/>
    </w:pPr>
    <w:r>
      <w:rPr>
        <w:rFonts w:ascii="Times New Roman" w:hAnsi="Times New Roman"/>
        <w:sz w:val="20"/>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200" w:before="0" w:line="240" w:lineRule="auto"/>
      <w:jc w:val="left"/>
    </w:pPr>
    <w:rPr>
      <w:rFonts w:ascii="Times New Roman" w:cs="Times New Roman" w:hAnsi="Times New Roman"/>
      <w:sz w:val="24"/>
    </w:rPr>
  </w:style>
  <w:style w:styleId="BodyText" w:type="paragraph">
    <w:name w:val="Body Text"/>
    <w:basedOn w:val="Normal"/>
    <w:link w:val="BodyTextChar"/>
    <w:qFormat/>
    <w:pPr>
      <w:spacing w:after="200" w:before="0" w:line="240" w:lineRule="auto"/>
      <w:jc w:val="left"/>
    </w:pPr>
    <w:rPr>
      <w:rFonts w:ascii="Times New Roman" w:cs="Times New Roman" w:hAnsi="Times New Roman"/>
      <w:sz w:val="24"/>
    </w:rPr>
  </w:style>
  <w:style w:customStyle="1" w:styleId="FirstParagraph" w:type="paragraph">
    <w:name w:val="First Paragraph"/>
    <w:basedOn w:val="BodyText"/>
    <w:next w:val="BodyText"/>
    <w:qFormat/>
    <w:pPr>
      <w:spacing w:after="200" w:before="0" w:line="240" w:lineRule="auto"/>
      <w:jc w:val="left"/>
    </w:pPr>
    <w:rPr>
      <w:rFonts w:ascii="Times New Roman" w:cs="Times New Roman" w:hAnsi="Times New Roman"/>
      <w:sz w:val="24"/>
    </w:rPr>
  </w:style>
  <w:style w:customStyle="1" w:styleId="Compact" w:type="paragraph">
    <w:name w:val="Compact"/>
    <w:basedOn w:val="BodyText"/>
    <w:qFormat/>
    <w:pPr>
      <w:spacing w:after="200" w:before="0" w:line="240" w:lineRule="auto"/>
      <w:jc w:val="left"/>
    </w:pPr>
    <w:rPr>
      <w:rFonts w:ascii="Times New Roman" w:cs="Times New Roman" w:hAnsi="Times New Roman"/>
      <w:sz w:val="24"/>
    </w:rPr>
  </w:style>
  <w:style w:styleId="Title" w:type="paragraph">
    <w:name w:val="Title"/>
    <w:basedOn w:val="Normal"/>
    <w:next w:val="BodyText"/>
    <w:link w:val="TitleChar"/>
    <w:uiPriority w:val="10"/>
    <w:qFormat/>
    <w:rsid w:val="00A10FD9"/>
    <w:pPr>
      <w:spacing w:after="240" w:before="0" w:line="276" w:lineRule="auto"/>
      <w:contextualSpacing/>
      <w:jc w:val="left"/>
    </w:pPr>
    <w:rPr>
      <w:rFonts w:ascii="Times New Roman" w:asciiTheme="majorHAnsi" w:cs="Times New Roman" w:cstheme="majorBidi" w:eastAsiaTheme="majorEastAsia" w:hAnsi="Times New Roman" w:hAnsiTheme="majorHAnsi"/>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color w:val="000000"/>
      <w:sz w:val="56"/>
      <w:szCs w:val="56"/>
    </w:rPr>
  </w:style>
  <w:style w:styleId="Subtitle" w:type="paragraph">
    <w:name w:val="Subtitle"/>
    <w:basedOn w:val="Title"/>
    <w:next w:val="BodyText"/>
    <w:link w:val="SubtitleChar"/>
    <w:uiPriority w:val="11"/>
    <w:qFormat/>
    <w:rsid w:val="00A10FD9"/>
    <w:pPr>
      <w:numPr>
        <w:ilvl w:val="1"/>
      </w:numPr>
      <w:spacing w:after="120" w:before="0" w:line="240" w:lineRule="auto"/>
      <w:jc w:val="left"/>
    </w:pPr>
    <w:rPr>
      <w:rFonts w:ascii="Times New Roman" w:cs="Times New Roman" w:cstheme="majorBidi" w:eastAsiaTheme="majorEastAsia" w:hAnsi="Times New Roman"/>
      <w:i/>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spacing w:after="80" w:before="0" w:line="240" w:lineRule="auto"/>
      <w:jc w:val="left"/>
    </w:pPr>
    <w:rPr>
      <w:rFonts w:ascii="Times New Roman" w:cs="Times New Roman" w:hAnsi="Times New Roman"/>
      <w:sz w:val="24"/>
      <w:szCs w:val="24"/>
    </w:rPr>
  </w:style>
  <w:style w:styleId="Date" w:type="paragraph">
    <w:name w:val="Date"/>
    <w:basedOn w:val="Title"/>
    <w:next w:val="BodyText"/>
    <w:qFormat/>
    <w:pPr>
      <w:keepNext/>
      <w:keepLines/>
      <w:spacing w:after="200" w:before="0" w:line="240" w:lineRule="auto"/>
      <w:jc w:val="left"/>
    </w:pPr>
    <w:rPr>
      <w:rFonts w:ascii="Times New Roman" w:cs="Times New Roman" w:hAnsi="Times New Roman"/>
      <w:sz w:val="24"/>
      <w:szCs w:val="24"/>
    </w:rPr>
  </w:style>
  <w:style w:customStyle="1" w:styleId="AbstractTitle" w:type="paragraph">
    <w:name w:val="Abstract Title"/>
    <w:basedOn w:val="Normal"/>
    <w:next w:val="Abstract"/>
    <w:qFormat/>
    <w:pPr>
      <w:keepNext/>
      <w:keepLines/>
      <w:spacing w:after="80" w:before="120" w:line="240" w:lineRule="auto"/>
      <w:jc w:val="left"/>
    </w:pPr>
    <w:rPr>
      <w:rFonts w:ascii="Times New Roman" w:cs="Times New Roman" w:hAnsi="Times New Roman"/>
      <w:b/>
      <w:sz w:val="24"/>
      <w:szCs w:val="20"/>
    </w:rPr>
  </w:style>
  <w:style w:customStyle="1" w:styleId="Abstract" w:type="paragraph">
    <w:name w:val="Abstract"/>
    <w:basedOn w:val="Normal"/>
    <w:next w:val="BodyText"/>
    <w:qFormat/>
    <w:pPr>
      <w:keepNext/>
      <w:keepLines/>
      <w:spacing w:after="200" w:before="0" w:line="240" w:lineRule="auto"/>
      <w:jc w:val="left"/>
    </w:pPr>
    <w:rPr>
      <w:rFonts w:ascii="Times New Roman" w:cs="Times New Roman" w:hAnsi="Times New Roman"/>
      <w:sz w:val="24"/>
      <w:szCs w:val="20"/>
    </w:rPr>
  </w:style>
  <w:style w:styleId="Bibliography" w:type="paragraph">
    <w:name w:val="Bibliography"/>
    <w:basedOn w:val="Normal"/>
    <w:next w:val="Bibliography"/>
    <w:qFormat/>
    <w:pPr>
      <w:spacing w:after="120" w:before="0" w:line="240" w:lineRule="auto"/>
      <w:ind w:hanging="357"/>
      <w:jc w:val="left"/>
    </w:pPr>
    <w:rPr>
      <w:rFonts w:ascii="Times New Roman" w:cs="Times New Roman" w:hAnsi="Times New Roman"/>
      <w:sz w:val="22"/>
    </w:rPr>
  </w:style>
  <w:style w:styleId="Heading1" w:type="paragraph">
    <w:name w:val="heading 1"/>
    <w:basedOn w:val="Normal"/>
    <w:next w:val="BodyText"/>
    <w:link w:val="Heading1Char"/>
    <w:uiPriority w:val="9"/>
    <w:qFormat/>
    <w:rsid w:val="00A10FD9"/>
    <w:pPr>
      <w:keepNext/>
      <w:keepLines/>
      <w:spacing w:after="160" w:before="360" w:line="240" w:lineRule="auto"/>
      <w:jc w:val="left"/>
      <w:outlineLvl w:val="0"/>
    </w:pPr>
    <w:rPr>
      <w:rFonts w:ascii="Times New Roman" w:asciiTheme="majorHAnsi" w:cs="Times New Roman" w:cstheme="majorBidi" w:eastAsiaTheme="majorEastAsia" w:hAnsi="Times New Roman" w:hAnsiTheme="majorHAnsi"/>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80" w:line="240" w:lineRule="auto"/>
      <w:jc w:val="left"/>
      <w:outlineLvl w:val="1"/>
    </w:pPr>
    <w:rPr>
      <w:rFonts w:ascii="Times New Roman" w:asciiTheme="majorHAnsi" w:cs="Times New Roman" w:cstheme="majorBidi" w:eastAsiaTheme="majorEastAsia" w:hAnsi="Times New Roman" w:hAnsiTheme="majorHAnsi"/>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40" w:lineRule="auto"/>
      <w:jc w:val="left"/>
      <w:outlineLvl w:val="2"/>
    </w:pPr>
    <w:rPr>
      <w:rFonts w:ascii="Times New Roman" w:cs="Times New Roman" w:cstheme="majorBidi" w:eastAsiaTheme="majorEastAsia" w:hAnsi="Times New Roman"/>
      <w:b/>
      <w: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40" w:lineRule="auto"/>
      <w:jc w:val="left"/>
      <w:outlineLvl w:val="3"/>
    </w:pPr>
    <w:rPr>
      <w:rFonts w:ascii="Times New Roman" w:cs="Times New Roman" w:cstheme="majorBidi" w:eastAsiaTheme="majorEastAsia"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80" w:before="200" w:line="240" w:lineRule="auto"/>
      <w:jc w:val="left"/>
      <w:outlineLvl w:val="4"/>
    </w:pPr>
    <w:rPr>
      <w:rFonts w:ascii="Times New Roman" w:cs="Times New Roman" w:cstheme="majorBidi" w:eastAsiaTheme="majorEastAsia" w:hAnsi="Times New Roman"/>
      <w:b/>
      <w:i/>
      <w:color w:val="000000"/>
      <w:sz w:val="24"/>
    </w:rPr>
  </w:style>
  <w:style w:styleId="Heading6" w:type="paragraph">
    <w:name w:val="heading 6"/>
    <w:basedOn w:val="Normal"/>
    <w:next w:val="BodyText"/>
    <w:link w:val="Heading6Char"/>
    <w:uiPriority w:val="9"/>
    <w:semiHidden/>
    <w:unhideWhenUsed/>
    <w:qFormat/>
    <w:rsid w:val="00A10FD9"/>
    <w:pPr>
      <w:keepNext/>
      <w:keepLines/>
      <w:spacing w:after="80" w:before="200" w:line="240" w:lineRule="auto"/>
      <w:jc w:val="left"/>
      <w:outlineLvl w:val="5"/>
    </w:pPr>
    <w:rPr>
      <w:rFonts w:ascii="Times New Roman" w:cs="Times New Roman" w:cstheme="majorBidi" w:eastAsiaTheme="majorEastAsia" w:hAnsi="Times New Roman"/>
      <w:b/>
      <w:i/>
      <w:iCs/>
      <w:color w:val="000000"/>
      <w:sz w:val="24"/>
    </w:rPr>
  </w:style>
  <w:style w:styleId="Heading7" w:type="paragraph">
    <w:name w:val="heading 7"/>
    <w:basedOn w:val="Normal"/>
    <w:next w:val="BodyText"/>
    <w:link w:val="Heading7Char"/>
    <w:uiPriority w:val="9"/>
    <w:semiHidden/>
    <w:unhideWhenUsed/>
    <w:qFormat/>
    <w:rsid w:val="00A10FD9"/>
    <w:pPr>
      <w:keepNext/>
      <w:keepLines/>
      <w:spacing w:after="80" w:before="200" w:line="240" w:lineRule="auto"/>
      <w:jc w:val="left"/>
      <w:outlineLvl w:val="6"/>
    </w:pPr>
    <w:rPr>
      <w:rFonts w:ascii="Times New Roman" w:cs="Times New Roman" w:cstheme="majorBidi" w:eastAsiaTheme="majorEastAsia" w:hAnsi="Times New Roman"/>
      <w:b/>
      <w:i/>
      <w:color w:val="000000"/>
      <w:sz w:val="24"/>
    </w:rPr>
  </w:style>
  <w:style w:styleId="Heading8" w:type="paragraph">
    <w:name w:val="heading 8"/>
    <w:basedOn w:val="Normal"/>
    <w:next w:val="BodyText"/>
    <w:link w:val="Heading8Char"/>
    <w:uiPriority w:val="9"/>
    <w:semiHidden/>
    <w:unhideWhenUsed/>
    <w:qFormat/>
    <w:rsid w:val="00A10FD9"/>
    <w:pPr>
      <w:keepNext/>
      <w:keepLines/>
      <w:spacing w:after="80" w:before="200" w:line="240" w:lineRule="auto"/>
      <w:jc w:val="left"/>
      <w:outlineLvl w:val="7"/>
    </w:pPr>
    <w:rPr>
      <w:rFonts w:ascii="Times New Roman" w:cs="Times New Roman" w:cstheme="majorBidi" w:eastAsiaTheme="majorEastAsia" w:hAnsi="Times New Roman"/>
      <w:b/>
      <w:i/>
      <w:iCs/>
      <w:color w:val="000000"/>
      <w:sz w:val="24"/>
    </w:rPr>
  </w:style>
  <w:style w:styleId="Heading9" w:type="paragraph">
    <w:name w:val="heading 9"/>
    <w:basedOn w:val="Normal"/>
    <w:next w:val="BodyText"/>
    <w:link w:val="Heading9Char"/>
    <w:uiPriority w:val="9"/>
    <w:semiHidden/>
    <w:unhideWhenUsed/>
    <w:qFormat/>
    <w:rsid w:val="00A10FD9"/>
    <w:pPr>
      <w:keepNext/>
      <w:keepLines/>
      <w:spacing w:after="80" w:before="200" w:line="240" w:lineRule="auto"/>
      <w:jc w:val="left"/>
      <w:outlineLvl w:val="8"/>
    </w:pPr>
    <w:rPr>
      <w:rFonts w:ascii="Times New Roman" w:cs="Times New Roman" w:cstheme="majorBidi" w:eastAsiaTheme="majorEastAsia" w:hAnsi="Times New Roman"/>
      <w:b/>
      <w:i/>
      <w:color w:val="000000"/>
      <w:sz w:val="24"/>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200" w:before="0" w:line="240" w:lineRule="auto"/>
      <w:ind w:firstLine="0" w:left="480" w:right="480"/>
      <w:jc w:val="left"/>
    </w:pPr>
    <w:rPr>
      <w:rFonts w:ascii="Times New Roman" w:cs="Times New Roman" w:hAnsi="Times New Roman"/>
      <w:sz w:val="24"/>
    </w:rPr>
  </w:style>
  <w:style w:styleId="FootnoteText" w:type="paragraph">
    <w:name w:val="Footnote Text"/>
    <w:basedOn w:val="Normal"/>
    <w:next w:val="FootnoteText"/>
    <w:uiPriority w:val="9"/>
    <w:unhideWhenUsed/>
    <w:qFormat/>
    <w:pPr>
      <w:spacing w:after="80" w:before="0" w:line="240" w:lineRule="auto"/>
      <w:jc w:val="left"/>
    </w:pPr>
    <w:rPr>
      <w:rFonts w:ascii="Times New Roman" w:cs="Times New Roman" w:hAnsi="Times New Roman"/>
      <w:sz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hAnsi="Times New Roman"/>
      <w:sz w:val="21"/>
    </w:rPr>
    <w:tblPr>
      <w:tblInd w:type="dxa" w:w="0"/>
      <w:tblCellMar>
        <w:top w:type="dxa" w:w="0"/>
        <w:left w:type="dxa" w:w="108"/>
        <w:bottom w:type="dxa" w:w="0"/>
        <w:right w:type="dxa" w:w="108"/>
      </w:tblCellMar>
      <w:tblBorders>
        <w:top w:color="000000" w:space="0" w:sz="8" w:val="single"/>
        <w:bottom w:color="000000" w:space="0" w:sz="8" w:val="single"/>
        <w:left w:val="nil"/>
        <w:right w:val="nil"/>
        <w:insideH w:val="nil"/>
        <w:insideV w:val="nil"/>
      </w:tblBorders>
    </w:tblPr>
    <w:tblStylePr w:type="firstRow">
      <w:rPr>
        <w:b/>
      </w:rPr>
      <w:tcPr>
        <w:tcBorders>
          <w:bottom w:color="000000" w:sz="6"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120" w:line="240" w:lineRule="auto"/>
      <w:jc w:val="left"/>
    </w:pPr>
    <w:rPr>
      <w:rFonts w:ascii="Times New Roman" w:cs="Times New Roman" w:hAnsi="Times New Roman"/>
      <w:b/>
      <w:i/>
      <w:sz w:val="22"/>
    </w:rPr>
  </w:style>
  <w:style w:customStyle="1" w:styleId="TableCaption" w:type="paragraph">
    <w:name w:val="Table Caption"/>
    <w:basedOn w:val="Caption"/>
    <w:pPr>
      <w:keepNext/>
      <w:spacing w:after="120" w:before="120" w:line="240" w:lineRule="auto"/>
      <w:jc w:val="left"/>
    </w:pPr>
    <w:rPr>
      <w:rFonts w:ascii="Times New Roman" w:cs="Times New Roman" w:hAnsi="Times New Roman"/>
      <w:b/>
      <w:sz w:val="22"/>
    </w:rPr>
  </w:style>
  <w:style w:customStyle="1" w:styleId="ImageCaption" w:type="paragraph">
    <w:name w:val="Image Caption"/>
    <w:basedOn w:val="Caption"/>
    <w:pPr>
      <w:spacing w:after="200" w:before="120" w:line="240" w:lineRule="auto"/>
      <w:jc w:val="left"/>
    </w:pPr>
    <w:rPr>
      <w:rFonts w:ascii="Times New Roman" w:cs="Times New Roman" w:hAnsi="Times New Roman"/>
      <w:b/>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2026-09-17T18:06:00Z</dcterms:created>
  <dcterms:modified xsi:type="dcterms:W3CDTF">2026-09-17T18:06:00Z</dcterms:modified>
</cp:coreProperties>
</file>

<file path=docProps/custom.xml><?xml version="1.0" encoding="utf-8"?>
<Properties xmlns="http://schemas.openxmlformats.org/officeDocument/2006/custom-properties" xmlns:vt="http://schemas.openxmlformats.org/officeDocument/2006/docPropsVTypes"/>
</file>