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7b182821656e8ebc7b6326b908d7fdce12d306"/>
    <w:p>
      <w:pPr>
        <w:pStyle w:val="Heading1"/>
      </w:pPr>
      <w:r>
        <w:t xml:space="preserve">ML methods and formulas, with live worked examples</w:t>
      </w:r>
    </w:p>
    <w:p>
      <w:pPr>
        <w:pStyle w:val="FirstParagraph"/>
      </w:pPr>
      <w:r>
        <w:t xml:space="preserve">Every formula below is the one actually implemented in the deployed pipeline, not a textbook</w:t>
      </w:r>
      <w:r>
        <w:t xml:space="preserve"> </w:t>
      </w:r>
      <w:r>
        <w:t xml:space="preserve">restatement of it, and every numeric example is computed live by</w:t>
      </w:r>
      <w:r>
        <w:t xml:space="preserve"> </w:t>
      </w:r>
      <w:r>
        <w:rPr>
          <w:rStyle w:val="VerbatimChar"/>
        </w:rPr>
        <w:t xml:space="preserve">tools/build_ml_formulas.py</w:t>
      </w:r>
      <w:r>
        <w:t xml:space="preserve"> </w:t>
      </w:r>
      <w:r>
        <w:t xml:space="preserve">from</w:t>
      </w:r>
      <w:r>
        <w:t xml:space="preserve"> </w:t>
      </w:r>
      <w:r>
        <w:t xml:space="preserve">the deployed models on donepezil (</w:t>
      </w:r>
      <w:r>
        <w:rPr>
          <w:rStyle w:val="VerbatimChar"/>
        </w:rPr>
        <w:t xml:space="preserve">COc1cc2c(cc1OC)C(=O)C(CC1CCN(Cc3ccccc3)CC1)C2</w:t>
      </w:r>
      <w:r>
        <w:t xml:space="preserve">), the same worked example the manuscript and</w:t>
      </w:r>
      <w:r>
        <w:t xml:space="preserve"> </w:t>
      </w:r>
      <w:r>
        <w:t xml:space="preserve">graphical abstract use, so the figures here cannot disagree with the ones there. Generated 2026-09-17.</w:t>
      </w:r>
    </w:p>
    <w:bookmarkStart w:id="18" w:name="feature-representation"/>
    <w:p>
      <w:pPr>
        <w:pStyle w:val="Heading2"/>
      </w:pPr>
      <w:r>
        <w:t xml:space="preserve">1. Feature representation</w:t>
      </w:r>
    </w:p>
    <w:p>
      <w:pPr>
        <w:pStyle w:val="FirstParagraph"/>
      </w:pPr>
      <w:r>
        <w:t xml:space="preserve">Each compound is reduced to its largest organic fragment, neutralised and sanitised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src/brainsafe/features/featurize.py:parent_mol</w:t>
      </w:r>
      <w:r>
        <w:t xml:space="preserve">), then represented as a fixed</w:t>
      </w:r>
      <w:r>
        <w:t xml:space="preserve"> </w:t>
      </w:r>
      <w:r>
        <w:rPr>
          <w:b/>
          <w:bCs/>
        </w:rPr>
        <w:t xml:space="preserve">1,036-column</w:t>
      </w:r>
      <w:r>
        <w:rPr>
          <w:b/>
          <w:bCs/>
        </w:rPr>
        <w:t xml:space="preserve"> </w:t>
      </w:r>
      <w:r>
        <w:rPr>
          <w:b/>
          <w:bCs/>
        </w:rPr>
        <w:t xml:space="preserve">vector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1,024-bit folded ECFP-4 (Morgan) fingerprint, radius 2.</w:t>
      </w:r>
      <w:r>
        <w:t xml:space="preserve"> </w:t>
      </w:r>
      <w:r>
        <w:t xml:space="preserve">For each atom, the algorithm enumerates</w:t>
      </w:r>
      <w:r>
        <w:t xml:space="preserve"> </w:t>
      </w:r>
      <w:r>
        <w:t xml:space="preserve">its circular substructure environment out to radius 2 bonds, hashes each environment to an integer,</w:t>
      </w:r>
      <w:r>
        <w:t xml:space="preserve"> </w:t>
      </w:r>
      <w:r>
        <w:t xml:space="preserve">and sets bit</w:t>
      </w:r>
      <w:r>
        <w:t xml:space="preserve"> </w:t>
      </w:r>
      <w:r>
        <w:rPr>
          <w:rStyle w:val="VerbatimChar"/>
        </w:rPr>
        <w:t xml:space="preserve">hash(environment) mod 1024</w:t>
      </w:r>
      <w:r>
        <w:t xml:space="preserve"> </w:t>
      </w:r>
      <w:r>
        <w:t xml:space="preserve">to 1. Folding is lossy by design: a set bit means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environment hashed there, not which one, which is why a single bit cannot be read as</w:t>
      </w:r>
      <w:r>
        <w:t xml:space="preserve"> </w:t>
      </w:r>
      <w:r>
        <w:t xml:space="preserve">“this</w:t>
      </w:r>
      <w:r>
        <w:t xml:space="preserve"> </w:t>
      </w:r>
      <w:r>
        <w:t xml:space="preserve">substructure is present”</w:t>
      </w:r>
      <w:r>
        <w:t xml:space="preserve"> </w:t>
      </w:r>
      <w:r>
        <w:t xml:space="preserve">on its own.</w:t>
      </w:r>
    </w:p>
    <w:p>
      <w:pPr>
        <w:pStyle w:val="BodyText"/>
      </w:pPr>
      <w:r>
        <w:rPr>
          <w:b/>
          <w:bCs/>
        </w:rPr>
        <w:t xml:space="preserve">Twelve physicochemical descriptors</w:t>
      </w:r>
      <w:r>
        <w:t xml:space="preserve">, each RDKit’s standard implementation: molecular weight,</w:t>
      </w:r>
      <w:r>
        <w:t xml:space="preserve"> </w:t>
      </w:r>
      <w:r>
        <w:t xml:space="preserve">Crippen logP, topological polar surface area, hydrogen-bond donor and acceptor counts, rotatable</w:t>
      </w:r>
      <w:r>
        <w:t xml:space="preserve"> </w:t>
      </w:r>
      <w:r>
        <w:t xml:space="preserve">bond count, aromatic ring count, fraction of sp3 carbons, ring count, heavy-atom count, formal</w:t>
      </w:r>
      <w:r>
        <w:t xml:space="preserve"> </w:t>
      </w:r>
      <w:r>
        <w:t xml:space="preserve">charge, and QED (a composite 0-1 drug-likeness score).</w:t>
      </w:r>
    </w:p>
    <w:p>
      <w:pPr>
        <w:pStyle w:val="BodyText"/>
      </w:pPr>
      <w:r>
        <w:rPr>
          <w:b/>
          <w:bCs/>
        </w:rPr>
        <w:t xml:space="preserve">Worked example, donepezil:</w:t>
      </w:r>
      <w:r>
        <w:t xml:space="preserve"> </w:t>
      </w:r>
      <w:r>
        <w:t xml:space="preserve">47 of the 1,024 fingerprint bits are set. Descriptor values:</w:t>
      </w:r>
      <w:r>
        <w:t xml:space="preserve"> </w:t>
      </w:r>
      <w:r>
        <w:t xml:space="preserve">molecular weight 379.50, cLogP 4.36, TPSA 38.77</w:t>
      </w:r>
      <w:r>
        <w:t xml:space="preserve"> </w:t>
      </w:r>
      <w:r>
        <w:t xml:space="preserve">Å², QED 0.747. The complete 1,036-value vector for this molecule, and for every</w:t>
      </w:r>
      <w:r>
        <w:t xml:space="preserve"> </w:t>
      </w:r>
      <w:r>
        <w:t xml:space="preserve">compound behind every model, is</w:t>
      </w:r>
      <w:r>
        <w:t xml:space="preserve"> </w:t>
      </w:r>
      <w:r>
        <w:rPr>
          <w:rStyle w:val="VerbatimChar"/>
        </w:rPr>
        <w:t xml:space="preserve">results/tables/master_feature_vectors.csv</w:t>
      </w:r>
      <w:r>
        <w:t xml:space="preserve">.</w:t>
      </w:r>
    </w:p>
    <w:bookmarkEnd w:id="18"/>
    <w:bookmarkStart w:id="19" w:name="random-forest-prediction"/>
    <w:p>
      <w:pPr>
        <w:pStyle w:val="Heading2"/>
      </w:pPr>
      <w:r>
        <w:t xml:space="preserve">2. Random forest prediction</w:t>
      </w:r>
    </w:p>
    <w:p>
      <w:pPr>
        <w:pStyle w:val="FirstParagraph"/>
      </w:pPr>
      <w:r>
        <w:t xml:space="preserve">A random forest is an average of many decision trees, each fitted on a bootstrap resample of the</w:t>
      </w:r>
      <w:r>
        <w:t xml:space="preserve"> </w:t>
      </w:r>
      <w:r>
        <w:t xml:space="preserve">training rows and, at every split, choosing the best split among a random subset of features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max_features = sqrt(1036)</w:t>
      </w:r>
      <w:r>
        <w:t xml:space="preserve"> </w:t>
      </w:r>
      <w:r>
        <w:t xml:space="preserve">≈ 32 by scikit-learn’s classification default). A forest’s raw vote for</w:t>
      </w:r>
      <w:r>
        <w:t xml:space="preserve"> </w:t>
      </w:r>
      <w:r>
        <w:t xml:space="preserve">class 1 is the mean of every one of its trees’ votes: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forest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e</m:t>
                  </m:r>
                  <m:r>
                    <m:t>e</m:t>
                  </m:r>
                  <m:r>
                    <m:t>s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e</m:t>
                  </m:r>
                  <m:r>
                    <m:t>e</m:t>
                  </m:r>
                  <m:r>
                    <m:t>s</m:t>
                  </m:r>
                </m:sub>
              </m:sSub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tree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Core target-potency and exposure classifiers use 300 trees,</w:t>
      </w:r>
      <w:r>
        <w:t xml:space="preserve"> </w:t>
      </w:r>
      <w:r>
        <w:rPr>
          <w:rStyle w:val="VerbatimChar"/>
        </w:rPr>
        <w:t xml:space="preserve">min_samples_leaf=2</w:t>
      </w:r>
      <w:r>
        <w:t xml:space="preserve">; binder classifiers</w:t>
      </w:r>
      <w:r>
        <w:t xml:space="preserve"> </w:t>
      </w:r>
      <w:r>
        <w:t xml:space="preserve">use 200 trees,</w:t>
      </w:r>
      <w:r>
        <w:t xml:space="preserve"> </w:t>
      </w:r>
      <w:r>
        <w:rPr>
          <w:rStyle w:val="VerbatimChar"/>
        </w:rPr>
        <w:t xml:space="preserve">min_samples_leaf=6</w:t>
      </w:r>
      <w:r>
        <w:t xml:space="preserve"> </w:t>
      </w:r>
      <w:r>
        <w:t xml:space="preserve">(a coarser leaf, since binder training sets are smaller and more</w:t>
      </w:r>
      <w:r>
        <w:t xml:space="preserve"> </w:t>
      </w:r>
      <w:r>
        <w:t xml:space="preserve">imbalanced). Both use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 </w:t>
      </w:r>
      <w:r>
        <w:t xml:space="preserve">and a fixed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.</w:t>
      </w:r>
    </w:p>
    <w:p>
      <w:pPr>
        <w:pStyle w:val="BodyText"/>
      </w:pPr>
      <w:r>
        <w:t xml:space="preserve">For the eight endpoints with a</w:t>
      </w:r>
      <w:r>
        <w:t xml:space="preserve"> </w:t>
      </w:r>
      <w:r>
        <w:rPr>
          <w:rStyle w:val="VerbatimChar"/>
        </w:rPr>
        <w:t xml:space="preserve">*_calibrated.joblib</w:t>
      </w:r>
      <w:r>
        <w:t xml:space="preserve"> </w:t>
      </w:r>
      <w:r>
        <w:t xml:space="preserve">(section 3), this raw forest vote is not the</w:t>
      </w:r>
      <w:r>
        <w:t xml:space="preserve"> </w:t>
      </w:r>
      <w:r>
        <w:t xml:space="preserve">final answer: it is computed separately inside each of five calibration folds, each fold’s vote is</w:t>
      </w:r>
      <w:r>
        <w:t xml:space="preserve"> </w:t>
      </w:r>
      <w:r>
        <w:t xml:space="preserve">isotonically calibrated on its own held-out data, and the five calibrated values are then averaged.</w:t>
      </w:r>
      <w:r>
        <w:t xml:space="preserve"> </w:t>
      </w:r>
      <w:r>
        <w:t xml:space="preserve">Section 3 below carries this same worked example through that second step and confirms the two</w:t>
      </w:r>
      <w:r>
        <w:t xml:space="preserve"> </w:t>
      </w:r>
      <w:r>
        <w:t xml:space="preserve">together reproduce the number the server actually reports.</w:t>
      </w:r>
    </w:p>
    <w:p>
      <w:pPr>
        <w:pStyle w:val="BodyText"/>
      </w:pPr>
      <w:r>
        <w:rPr>
          <w:b/>
          <w:bCs/>
        </w:rPr>
        <w:t xml:space="preserve">Worked example, donepezil against fold 0 of the deployed BBB model’s five internal forests:</w:t>
      </w:r>
      <w:r>
        <w:t xml:space="preserve"> </w:t>
      </w:r>
      <w:r>
        <w:t xml:space="preserve">individual tree votes in this one fold range from 0.000 to</w:t>
      </w:r>
      <w:r>
        <w:t xml:space="preserve"> </w:t>
      </w:r>
      <w:r>
        <w:t xml:space="preserve">1.000 across its 300 trees; this fold’s raw forest vote is</w:t>
      </w:r>
      <w:r>
        <w:t xml:space="preserve"> </w:t>
      </w:r>
      <w:r>
        <w:t xml:space="preserve">their mean, 0.9170. Tree 0 of this fold, truncated to depth 3, is Figure S: it</w:t>
      </w:r>
      <w:r>
        <w:t xml:space="preserve"> </w:t>
      </w:r>
      <w:r>
        <w:t xml:space="preserve">first splits on molecular weight, then QED, before it needs any fingerprint bit; the complete tree is</w:t>
      </w:r>
      <w:r>
        <w:t xml:space="preserve"> </w:t>
      </w:r>
      <w:r>
        <w:t xml:space="preserve">exported as text in</w:t>
      </w:r>
      <w:r>
        <w:t xml:space="preserve"> </w:t>
      </w:r>
      <w:r>
        <w:rPr>
          <w:rStyle w:val="VerbatimChar"/>
        </w:rPr>
        <w:t xml:space="preserve">results/tables/decision_tree_example_full.txt</w:t>
      </w:r>
      <w:r>
        <w:t xml:space="preserve">.</w:t>
      </w:r>
    </w:p>
    <w:bookmarkEnd w:id="19"/>
    <w:bookmarkStart w:id="20" w:name="calibration"/>
    <w:p>
      <w:pPr>
        <w:pStyle w:val="Heading2"/>
      </w:pPr>
      <w:r>
        <w:t xml:space="preserve">3. Calibration</w:t>
      </w:r>
    </w:p>
    <w:p>
      <w:pPr>
        <w:pStyle w:val="FirstParagraph"/>
      </w:pPr>
      <w:r>
        <w:t xml:space="preserve">A raw forest vote is not a calibrated probability: a set of compounds a forest votes 0.7 for will</w:t>
      </w:r>
      <w:r>
        <w:t xml:space="preserve"> </w:t>
      </w:r>
      <w:r>
        <w:t xml:space="preserve">not, in general, turn out to be active 70% of the time. Two methods are used, chosen by how much</w:t>
      </w:r>
      <w:r>
        <w:t xml:space="preserve"> </w:t>
      </w:r>
      <w:r>
        <w:t xml:space="preserve">calibration data each endpoint’s held-out set can support.</w:t>
      </w:r>
    </w:p>
    <w:p>
      <w:pPr>
        <w:pStyle w:val="BodyText"/>
      </w:pPr>
      <w:r>
        <w:rPr>
          <w:b/>
          <w:bCs/>
        </w:rPr>
        <w:t xml:space="preserve">Isotonic regression</w:t>
      </w:r>
      <w:r>
        <w:t xml:space="preserve"> </w:t>
      </w:r>
      <w:r>
        <w:t xml:space="preserve">(the eight core target/exposure classifiers). Two related but distinct</w:t>
      </w:r>
      <w:r>
        <w:t xml:space="preserve"> </w:t>
      </w:r>
      <w:r>
        <w:t xml:space="preserve">uses of it exist and are kept separate rather than conflated: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Measuring calibration quality.</w:t>
      </w:r>
      <w:r>
        <w:t xml:space="preserve"> </w:t>
      </w:r>
      <w:r>
        <w:rPr>
          <w:rStyle w:val="VerbatimChar"/>
        </w:rPr>
        <w:t xml:space="preserve">src/brainsafe/models/calibrate.py</w:t>
      </w:r>
      <w:r>
        <w:t xml:space="preserve"> </w:t>
      </w:r>
      <w:r>
        <w:t xml:space="preserve">recalibrates the already-saved</w:t>
      </w:r>
      <w:r>
        <w:t xml:space="preserve"> </w:t>
      </w:r>
      <w:r>
        <w:t xml:space="preserve">random-split out-of-fold predictions with a single isotonic regressor fitted via 5-fold</w:t>
      </w:r>
      <w:r>
        <w:t xml:space="preserve"> </w:t>
      </w:r>
      <w:r>
        <w:rPr>
          <w:rStyle w:val="VerbatimChar"/>
        </w:rPr>
        <w:t xml:space="preserve">cross_val_predict</w:t>
      </w:r>
      <w:r>
        <w:t xml:space="preserve">, so no compound calibrates the function that scores it, and reports the honest</w:t>
      </w:r>
      <w:r>
        <w:t xml:space="preserve"> </w:t>
      </w:r>
      <w:r>
        <w:t xml:space="preserve">before/after error. This is what turns the panel’s mean expected calibration error from 0.0801</w:t>
      </w:r>
      <w:r>
        <w:t xml:space="preserve"> </w:t>
      </w:r>
      <w:r>
        <w:t xml:space="preserve">(raw) to 0.0147 (calibrated).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The deployed model.</w:t>
      </w:r>
      <w:r>
        <w:t xml:space="preserve"> </w:t>
      </w:r>
      <w:r>
        <w:t xml:space="preserve">Separately,</w:t>
      </w:r>
      <w:r>
        <w:t xml:space="preserve"> </w:t>
      </w:r>
      <w:r>
        <w:rPr>
          <w:rStyle w:val="VerbatimChar"/>
        </w:rPr>
        <w:t xml:space="preserve">CalibratedClassifierCV(forest, method="isotonic", cv=5)</w:t>
      </w:r>
      <w:r>
        <w:t xml:space="preserve"> </w:t>
      </w:r>
      <w:r>
        <w:t xml:space="preserve">is</w:t>
      </w:r>
      <w:r>
        <w:t xml:space="preserve"> </w:t>
      </w:r>
      <w:r>
        <w:t xml:space="preserve">fitted fresh on all data and saved as</w:t>
      </w:r>
      <w:r>
        <w:t xml:space="preserve"> </w:t>
      </w:r>
      <w:r>
        <w:rPr>
          <w:rStyle w:val="VerbatimChar"/>
        </w:rPr>
        <w:t xml:space="preserve">&lt;endpoint&gt;_calibrated.joblib</w:t>
      </w:r>
      <w:r>
        <w:t xml:space="preserve">. This wraps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internal</w:t>
      </w:r>
      <w:r>
        <w:t xml:space="preserve"> </w:t>
      </w:r>
      <w:r>
        <w:t xml:space="preserve">random forests, one per calibration fold, each with its own isotonic calibrator fitted on that</w:t>
      </w:r>
      <w:r>
        <w:t xml:space="preserve"> </w:t>
      </w:r>
      <w:r>
        <w:t xml:space="preserve">fold’s held-out rows. At prediction time every fold’s forest votes, every vote is passed through</w:t>
      </w:r>
      <w:r>
        <w:t xml:space="preserve"> </w:t>
      </w:r>
      <w:r>
        <w:t xml:space="preserve">that fold’s own calibrator, and the deployed probability is the mean of the five calibrated</w:t>
      </w:r>
      <w:r>
        <w:t xml:space="preserve"> </w:t>
      </w:r>
      <w:r>
        <w:t xml:space="preserve">values: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forest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fold</w:t>
      </w:r>
      <w:r>
        <w:t xml:space="preserve"> </w:t>
      </w:r>
      <m:oMath>
        <m:r>
          <m:t>k</m:t>
        </m:r>
      </m:oMath>
      <w:r>
        <w:t xml:space="preserve">’s isotonic calibrator.</w:t>
      </w:r>
    </w:p>
    <w:p>
      <w:pPr>
        <w:pStyle w:val="BodyText"/>
      </w:pPr>
      <w:r>
        <w:rPr>
          <w:b/>
          <w:bCs/>
        </w:rPr>
        <w:t xml:space="preserve">Worked example, donepezil, all five BBB folds:</w:t>
      </w:r>
      <w:r>
        <w:t xml:space="preserve"> </w:t>
      </w:r>
      <w:r>
        <w:t xml:space="preserve">calibrated per-fold probabilities</w:t>
      </w:r>
      <w:r>
        <w:t xml:space="preserve"> </w:t>
      </w:r>
      <w:r>
        <w:t xml:space="preserve">0.9829, 0.9834, 0.9897, 0.9974, 1.0000; mean 0.9907.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’s own reported</w:t>
      </w:r>
      <w:r>
        <w:t xml:space="preserve"> </w:t>
      </w:r>
      <w:r>
        <w:t xml:space="preserve">probability for this query is 0.9907 — the two agree to the digit, because they are the same</w:t>
      </w:r>
      <w:r>
        <w:t xml:space="preserve"> </w:t>
      </w:r>
      <w:r>
        <w:t xml:space="preserve">computation checked twice, once inside the deployed object and once by this script independently</w:t>
      </w:r>
      <w:r>
        <w:t xml:space="preserve"> </w:t>
      </w:r>
      <w:r>
        <w:t xml:space="preserve">loading its five internal forests and calibrators.</w:t>
      </w:r>
    </w:p>
    <w:p>
      <w:pPr>
        <w:pStyle w:val="BodyText"/>
      </w:pPr>
      <w:r>
        <w:rPr>
          <w:b/>
          <w:bCs/>
        </w:rPr>
        <w:t xml:space="preserve">Sigmoid (Platt) scaling</w:t>
      </w:r>
      <w:r>
        <w:t xml:space="preserve"> </w:t>
      </w:r>
      <w:r>
        <w:t xml:space="preserve">(the binder panel): a raw score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mapped through a fitted logistic</w:t>
      </w:r>
      <w:r>
        <w:t xml:space="preserve"> </w:t>
      </w:r>
      <w:r>
        <w:t xml:space="preserve">function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A</m:t>
        </m:r>
        <m:r>
          <m:t>s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fitted by</w:t>
      </w:r>
      <w:r>
        <w:t xml:space="preserve"> </w:t>
      </w:r>
      <w:r>
        <w:rPr>
          <w:rStyle w:val="VerbatimChar"/>
        </w:rPr>
        <w:t xml:space="preserve">CalibratedClassifierCV(method="sigmoid")</w:t>
      </w:r>
      <w:r>
        <w:t xml:space="preserve">. Used for binders specifically because the held-out</w:t>
      </w:r>
      <w:r>
        <w:t xml:space="preserve"> </w:t>
      </w:r>
      <w:r>
        <w:t xml:space="preserve">calibration set for a single receptor is often too small to fit a non-parametric step function</w:t>
      </w:r>
      <w:r>
        <w:t xml:space="preserve"> </w:t>
      </w:r>
      <w:r>
        <w:t xml:space="preserve">without overfitting it.</w:t>
      </w:r>
    </w:p>
    <w:bookmarkEnd w:id="20"/>
    <w:bookmarkStart w:id="21" w:name="conformal-prediction"/>
    <w:p>
      <w:pPr>
        <w:pStyle w:val="Heading2"/>
      </w:pPr>
      <w:r>
        <w:t xml:space="preserve">4. Conformal prediction</w:t>
      </w:r>
    </w:p>
    <w:p>
      <w:pPr>
        <w:pStyle w:val="FirstParagraph"/>
      </w:pPr>
      <w:r>
        <w:t xml:space="preserve">Alongside a calibrated probability, the eight core classifiers report a</w:t>
      </w:r>
      <w:r>
        <w:t xml:space="preserve"> </w:t>
      </w:r>
      <w:r>
        <w:rPr>
          <w:b/>
          <w:bCs/>
        </w:rPr>
        <w:t xml:space="preserve">Mondrian conformal</w:t>
      </w:r>
      <w:r>
        <w:rPr>
          <w:b/>
          <w:bCs/>
        </w:rPr>
        <w:t xml:space="preserve"> </w:t>
      </w:r>
      <w:r>
        <w:rPr>
          <w:b/>
          <w:bCs/>
        </w:rPr>
        <w:t xml:space="preserve">prediction set</w:t>
      </w:r>
      <w:r>
        <w:t xml:space="preserve">: not a single number but a statement of which classes are plausible at a stated</w:t>
      </w:r>
      <w:r>
        <w:t xml:space="preserve"> </w:t>
      </w:r>
      <w:r>
        <w:t xml:space="preserve">confidence level (</w:t>
      </w:r>
      <w:r>
        <w:rPr>
          <w:rStyle w:val="VerbatimChar"/>
        </w:rPr>
        <w:t xml:space="preserve">src/brainsafe/evaluation/rf_conformal_temporal.py</w:t>
      </w:r>
      <w:r>
        <w:t xml:space="preserve">).</w:t>
      </w:r>
    </w:p>
    <w:p>
      <w:pPr>
        <w:pStyle w:val="BodyText"/>
      </w:pPr>
      <w:r>
        <w:t xml:space="preserve">At significance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(target coverage 90%), on a calibration set disjoint from</w:t>
      </w:r>
      <w:r>
        <w:t xml:space="preserve"> </w:t>
      </w:r>
      <w:r>
        <w:t xml:space="preserve">training, the</w:t>
      </w:r>
      <w:r>
        <w:t xml:space="preserve"> </w:t>
      </w:r>
      <w:r>
        <w:rPr>
          <w:i/>
          <w:iCs/>
        </w:rPr>
        <w:t xml:space="preserve">nonconformity</w:t>
      </w:r>
      <w:r>
        <w:t xml:space="preserve"> </w:t>
      </w:r>
      <w:r>
        <w:t xml:space="preserve">of a calibration compound truly labelled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: how far the model’s own probability for the true</w:t>
      </w:r>
      <w:r>
        <w:t xml:space="preserve"> </w:t>
      </w:r>
      <w:r>
        <w:t xml:space="preserve">class falls short of certainty. For each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separately (Mondrian: one threshold per class,</w:t>
      </w:r>
      <w:r>
        <w:t xml:space="preserve"> </w:t>
      </w:r>
      <w:r>
        <w:t xml:space="preserve">not one threshold overall), the threshold is the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nor/>
              <m:sty m:val="p"/>
            </m:rPr>
            <m:t>-th smallest calibration nonconformity, 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⌈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⌉</m:t>
          </m:r>
        </m:oMath>
      </m:oMathPara>
    </w:p>
    <w:p>
      <w:pPr>
        <w:pStyle w:val="FirstParagraph"/>
      </w:pPr>
      <w:r>
        <w:t xml:space="preserve">among the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calibration compounds of that class. At prediction time,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included in a</w:t>
      </w:r>
      <w:r>
        <w:t xml:space="preserve"> </w:t>
      </w:r>
      <w:r>
        <w:t xml:space="preserve">compound’s prediction set if its nonconformity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falls at or below that</w:t>
      </w:r>
      <w:r>
        <w:t xml:space="preserve"> </w:t>
      </w:r>
      <w:r>
        <w:t xml:space="preserve">class’s threshold; the reported set can therefore hold zero, one, or both classes.</w:t>
      </w:r>
    </w:p>
    <w:p>
      <w:pPr>
        <w:pStyle w:val="BodyText"/>
      </w:pPr>
      <w:r>
        <w:rPr>
          <w:b/>
          <w:bCs/>
        </w:rPr>
        <w:t xml:space="preserve">BBB model, measured performance</w:t>
      </w:r>
      <w:r>
        <w:t xml:space="preserve">: empirical coverage 0.896 against</w:t>
      </w:r>
      <w:r>
        <w:t xml:space="preserve"> </w:t>
      </w:r>
      <w:r>
        <w:t xml:space="preserve">a 0.9 target, mean prediction-set size</w:t>
      </w:r>
      <w:r>
        <w:t xml:space="preserve"> </w:t>
      </w:r>
      <w:r>
        <w:t xml:space="preserve">1.215 on a two-class problem where 1.0 is a single</w:t>
      </w:r>
      <w:r>
        <w:t xml:space="preserve"> </w:t>
      </w:r>
      <w:r>
        <w:t xml:space="preserve">confident label (</w:t>
      </w:r>
      <w:r>
        <w:rPr>
          <w:rStyle w:val="VerbatimChar"/>
        </w:rPr>
        <w:t xml:space="preserve">results/tables/rf_conformal.csv</w:t>
      </w:r>
      <w:r>
        <w:t xml:space="preserve">).</w:t>
      </w:r>
    </w:p>
    <w:bookmarkEnd w:id="21"/>
    <w:bookmarkStart w:id="22" w:name="base-rate-enrichment"/>
    <w:p>
      <w:pPr>
        <w:pStyle w:val="Heading2"/>
      </w:pPr>
      <w:r>
        <w:t xml:space="preserve">5. Base-rate enrichment</w:t>
      </w:r>
    </w:p>
    <w:p>
      <w:pPr>
        <w:pStyle w:val="FirstParagraph"/>
      </w:pPr>
      <w:r>
        <w:t xml:space="preserve">Training sets are frequently active-heavy (the active fraction reaches over 90% for some deployed</w:t>
      </w:r>
      <w:r>
        <w:t xml:space="preserve"> </w:t>
      </w:r>
      <w:r>
        <w:t xml:space="preserve">endpoints), so a raw calibrated</w:t>
      </w:r>
      <w:r>
        <w:t xml:space="preserve"> </w:t>
      </w:r>
      <w:r>
        <w:t xml:space="preserve">probability is not by itself evidence of engagement: an endpoint whose training set is 96% active</w:t>
      </w:r>
      <w:r>
        <w:t xml:space="preserve"> </w:t>
      </w:r>
      <w:r>
        <w:t xml:space="preserve">will output a high probability for almost anything. Every target score reported to a user is</w:t>
      </w:r>
      <w:r>
        <w:t xml:space="preserve"> </w:t>
      </w:r>
      <w:r>
        <w:t xml:space="preserve">therefore an</w:t>
      </w:r>
      <w:r>
        <w:t xml:space="preserve"> </w:t>
      </w:r>
      <w:r>
        <w:rPr>
          <w:b/>
          <w:bCs/>
        </w:rPr>
        <w:t xml:space="preserve">enrichment over that endpoint’s own training base 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app.py:enrichment</w:t>
      </w:r>
      <w:r>
        <w:t xml:space="preserve">), a signed quantity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den>
                    </m:f>
                  </m:e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b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b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endpoint’s training base rate.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exactly the base rate,</w:t>
      </w:r>
      <w:r>
        <w:t xml:space="preserve"> </w:t>
      </w:r>
      <m:oMath>
        <m:r>
          <m:t>e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→</m:t>
        </m:r>
        <m:r>
          <m:t>0</m:t>
        </m:r>
      </m:oMath>
      <w:r>
        <w:t xml:space="preserve">; a target is reported as engaged at</w:t>
      </w:r>
      <w:r>
        <w:t xml:space="preserve"> </w:t>
      </w:r>
      <m:oMath>
        <m:r>
          <m:t>e</m:t>
        </m:r>
        <m:r>
          <m:rPr>
            <m:sty m:val="p"/>
          </m:rPr>
          <m:t>≥</m:t>
        </m:r>
        <m:r>
          <m:t>0.2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Worked example, donepezil at hERG:</w:t>
      </w:r>
      <w:r>
        <w:t xml:space="preserve"> </w:t>
      </w:r>
      <w:r>
        <w:t xml:space="preserve">calibrated probability 0.7342, training base rate</w:t>
      </w:r>
      <w:r>
        <w:t xml:space="preserve"> </w:t>
      </w:r>
      <w:r>
        <w:t xml:space="preserve">0.2363. Since 0.7342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0.2363: $e = (0.7342 - 0.2363) /</w:t>
      </w:r>
      <w:r>
        <w:t xml:space="preserve"> </w:t>
      </w:r>
      <w:r>
        <w:t xml:space="preserve">(1 - 0.2363) = $0.6520, matching the deployed value to the digit.</w:t>
      </w:r>
    </w:p>
    <w:p>
      <w:pPr>
        <w:pStyle w:val="BodyText"/>
      </w:pPr>
      <w:r>
        <w:rPr>
          <w:b/>
          <w:bCs/>
        </w:rPr>
        <w:t xml:space="preserve">At AChE:</w:t>
      </w:r>
      <w:r>
        <w:t xml:space="preserve"> </w:t>
      </w:r>
      <w:r>
        <w:t xml:space="preserve">probability 1.0000, base rate 0.5959, enrichment 1.0000.</w:t>
      </w:r>
    </w:p>
    <w:bookmarkEnd w:id="22"/>
    <w:bookmarkStart w:id="23" w:name="exposure-gating-and-the-disease-layer"/>
    <w:p>
      <w:pPr>
        <w:pStyle w:val="Heading2"/>
      </w:pPr>
      <w:r>
        <w:t xml:space="preserve">6. Exposure gating and the disease layer</w:t>
      </w:r>
    </w:p>
    <w:p>
      <w:pPr>
        <w:pStyle w:val="FirstParagraph"/>
      </w:pPr>
      <w:r>
        <w:t xml:space="preserve">A target’s engagement signal is never reported on its own; every disease score is the strongest</w:t>
      </w:r>
      <w:r>
        <w:t xml:space="preserve"> </w:t>
      </w:r>
      <w:r>
        <w:t xml:space="preserve">engaged target for that condition, gated multiplicatively by predicted barrier penetration</w:t>
      </w:r>
      <w:r>
        <w:t xml:space="preserve"> </w:t>
      </w:r>
      <w:r>
        <w:t xml:space="preserve">(manuscript Methods,</w:t>
      </w:r>
      <w:r>
        <w:t xml:space="preserve"> </w:t>
      </w:r>
      <w:r>
        <w:t xml:space="preserve">“Exposure gating and the disease layer”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S</m:t>
                  </m:r>
                </m:e>
              </m:acc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lim>
          </m:limLow>
          <m:r>
            <m:t>w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engagement signal (the positive part of enrichment) at target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set of (target, edge-weight) pairs the knowledge graph connects to disease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predicted barrier penetration (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the two peripherally-acting conditions in the graph).</w:t>
      </w:r>
      <w:r>
        <w:t xml:space="preserve"> </w:t>
      </w:r>
      <w:r>
        <w:t xml:space="preserve">Because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multiplies every condition identically, it can silence a call but cannot re-rank</w:t>
      </w:r>
      <w:r>
        <w:t xml:space="preserve"> </w:t>
      </w:r>
      <w:r>
        <w:t xml:space="preserve">which condition is reported: this was posed as a falsifiable hypothesis (H3) and confirmed, refuted</w:t>
      </w:r>
      <w:r>
        <w:t xml:space="preserve"> </w:t>
      </w:r>
      <w:r>
        <w:t xml:space="preserve">by construction, rather than assumed.</w:t>
      </w:r>
    </w:p>
    <w:p>
      <w:pPr>
        <w:pStyle w:val="BodyText"/>
      </w:pPr>
      <w:r>
        <w:rPr>
          <w:b/>
          <w:bCs/>
        </w:rPr>
        <w:t xml:space="preserve">Worked example, donepezil:</w:t>
      </w:r>
      <w:r>
        <w:t xml:space="preserve"> </w:t>
      </w:r>
      <w:r>
        <w:t xml:space="preserve">barrier penetration $</w:t>
      </w:r>
      <w:r>
        <w:t xml:space="preserve">(x) = $0.9907, driving target</w:t>
      </w:r>
      <w:r>
        <w:t xml:space="preserve"> </w:t>
      </w:r>
      <w:r>
        <w:t xml:space="preserve">AChE at engagement signal</w:t>
      </w:r>
      <w:r>
        <w:t xml:space="preserve"> </w:t>
      </w:r>
      <w:r>
        <w:t xml:space="preserve">1.0000,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S</m:t>
                </m:r>
              </m:e>
            </m:acc>
          </m:e>
          <m:sub>
            <m:r>
              <m:rPr>
                <m:nor/>
                <m:sty m:val="p"/>
              </m:rPr>
              <m:t>Alzheimer’s disease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0.9907</m:t>
        </m:r>
        <m:r>
          <m:rPr>
            <m:sty m:val="p"/>
          </m:rPr>
          <m:t>×</m:t>
        </m:r>
        <m:r>
          <m:t>1.0000</m:t>
        </m:r>
        <m:r>
          <m:rPr>
            <m:sty m:val="p"/>
          </m:rPr>
          <m:t>=</m:t>
        </m:r>
        <m:r>
          <m:t>0.9907</m:t>
        </m:r>
      </m:oMath>
      <w:r>
        <w:t xml:space="preserve">.</w:t>
      </w:r>
    </w:p>
    <w:bookmarkEnd w:id="23"/>
    <w:bookmarkStart w:id="24" w:name="applicability-domain"/>
    <w:p>
      <w:pPr>
        <w:pStyle w:val="Heading2"/>
      </w:pPr>
      <w:r>
        <w:t xml:space="preserve">7. Applicability domain</w:t>
      </w:r>
    </w:p>
    <w:p>
      <w:pPr>
        <w:pStyle w:val="FirstParagraph"/>
      </w:pPr>
      <w:r>
        <w:t xml:space="preserve">The applicability-domain distance is the</w:t>
      </w:r>
      <w:r>
        <w:t xml:space="preserve"> </w:t>
      </w:r>
      <w:r>
        <w:rPr>
          <w:b/>
          <w:bCs/>
        </w:rPr>
        <w:t xml:space="preserve">maximum Tanimoto similarity</w:t>
      </w:r>
      <w:r>
        <w:t xml:space="preserve"> </w:t>
      </w:r>
      <w:r>
        <w:t xml:space="preserve">between the query’s</w:t>
      </w:r>
      <w:r>
        <w:t xml:space="preserve"> </w:t>
      </w:r>
      <w:r>
        <w:t xml:space="preserve">ECFP-4 fingerprint and every fingerprint in the 158,890-compound background reference library: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library</m:t>
              </m:r>
            </m:lim>
          </m:limLow>
          <m:r>
            <m:t>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computed as popcount of the bitwise AND over popcount of the bitwise OR of the two folded</w:t>
      </w:r>
      <w:r>
        <w:t xml:space="preserve"> </w:t>
      </w:r>
      <w:r>
        <w:t xml:space="preserve">fingerprints. This is reported beside every prediction with the nearest analogue’s structure, so a</w:t>
      </w:r>
      <w:r>
        <w:t xml:space="preserve"> </w:t>
      </w:r>
      <w:r>
        <w:t xml:space="preserve">user can tell interpolation from extrapolation directly rather than trust a single number.</w:t>
      </w:r>
    </w:p>
    <w:p>
      <w:pPr>
        <w:pStyle w:val="BodyText"/>
      </w:pPr>
      <w:r>
        <w:rPr>
          <w:b/>
          <w:bCs/>
        </w:rPr>
        <w:t xml:space="preserve">Worked example, donepezil:</w:t>
      </w:r>
      <w:r>
        <w:t xml:space="preserve"> </w:t>
      </w:r>
      <w:r>
        <w:t xml:space="preserve">maximum similarity 1.0000 against</w:t>
      </w:r>
      <w:r>
        <w:t xml:space="preserve"> </w:t>
      </w:r>
      <w:r>
        <w:t xml:space="preserve">158,890 reference compounds (donepezil is itself a training compound, hence the exact match),</w:t>
      </w:r>
      <w:r>
        <w:t xml:space="preserve"> </w:t>
      </w:r>
      <w:r>
        <w:t xml:space="preserve">tier</w:t>
      </w:r>
      <w:r>
        <w:t xml:space="preserve"> </w:t>
      </w:r>
      <w:r>
        <w:t xml:space="preserve">“In domain”</w:t>
      </w:r>
      <w:r>
        <w:t xml:space="preserve">, expected recall at this distance 0.8616</w:t>
      </w:r>
      <w:r>
        <w:t xml:space="preserve"> </w:t>
      </w:r>
      <w:r>
        <w:t xml:space="preserve">(from 2,586 compounds previously measured at a comparable distance).</w:t>
      </w:r>
    </w:p>
    <w:bookmarkEnd w:id="24"/>
    <w:bookmarkStart w:id="25" w:name="evaluation-metrics"/>
    <w:p>
      <w:pPr>
        <w:pStyle w:val="Heading2"/>
      </w:pPr>
      <w:r>
        <w:t xml:space="preserve">8. Evaluation metrics</w:t>
      </w:r>
    </w:p>
    <w:p>
      <w:pPr>
        <w:pStyle w:val="FirstParagraph"/>
      </w:pPr>
      <w:r>
        <w:rPr>
          <w:b/>
          <w:bCs/>
        </w:rPr>
        <w:t xml:space="preserve">AUROC</w:t>
      </w:r>
      <w:r>
        <w:t xml:space="preserve"> </w:t>
      </w:r>
      <w:r>
        <w:t xml:space="preserve">(area under the receiver-operating-characteristic curve): the probability that a randomly</w:t>
      </w:r>
      <w:r>
        <w:t xml:space="preserve"> </w:t>
      </w:r>
      <w:r>
        <w:t xml:space="preserve">chosen active scores higher than a randomly chosen inactive,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estimated by scikit-learn’s</w:t>
      </w:r>
      <w:r>
        <w:t xml:space="preserve"> </w:t>
      </w:r>
      <w:r>
        <w:rPr>
          <w:rStyle w:val="VerbatimChar"/>
        </w:rPr>
        <w:t xml:space="preserve">roc_auc_score</w:t>
      </w:r>
      <w:r>
        <w:t xml:space="preserve"> </w:t>
      </w:r>
      <w:r>
        <w:t xml:space="preserve">over every</w:t>
      </w:r>
      <w:r>
        <w:t xml:space="preserve"> </w:t>
      </w:r>
      <w:r>
        <w:t xml:space="preserve">active/inactive pair in the held-out fold.</w:t>
      </w:r>
    </w:p>
    <w:p>
      <w:pPr>
        <w:pStyle w:val="BodyText"/>
      </w:pPr>
      <w:r>
        <w:rPr>
          <w:b/>
          <w:bCs/>
        </w:rPr>
        <w:t xml:space="preserve">Sensitivity</w:t>
      </w:r>
      <w:r>
        <w:t xml:space="preserve"> </w:t>
      </w:r>
      <w:r>
        <w:t xml:space="preserve">(recall):</w:t>
      </w:r>
      <w:r>
        <w:t xml:space="preserve"> </w:t>
      </w:r>
      <m:oMath>
        <m:r>
          <m:t>T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t>P</m:t>
        </m:r>
        <m:r>
          <m:rPr>
            <m:sty m:val="p"/>
          </m:rPr>
          <m:t>+</m:t>
        </m:r>
        <m:r>
          <m:t>F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the endpoint’s deployed decision threshold, measured</w:t>
      </w:r>
      <w:r>
        <w:t xml:space="preserve"> </w:t>
      </w:r>
      <w:r>
        <w:t xml:space="preserve">on actives withheld by scaffold and never seen during that fit.</w:t>
      </w:r>
    </w:p>
    <w:p>
      <w:pPr>
        <w:pStyle w:val="BodyText"/>
      </w:pPr>
      <w:r>
        <w:rPr>
          <w:b/>
          <w:bCs/>
        </w:rPr>
        <w:t xml:space="preserve">Wilson score interval</w:t>
      </w:r>
      <w:r>
        <w:t xml:space="preserve"> </w:t>
      </w:r>
      <w:r>
        <w:t xml:space="preserve">(used for recall confidence intervals throughout, in preference to the</w:t>
      </w:r>
      <w:r>
        <w:t xml:space="preserve"> </w:t>
      </w:r>
      <w:r>
        <w:t xml:space="preserve">normal approximation because it stays inside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even at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 extreme proportions):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trials,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1.96</m:t>
        </m:r>
      </m:oMath>
      <w:r>
        <w:t xml:space="preserve"> </w:t>
      </w:r>
      <w:r>
        <w:t xml:space="preserve">(95%),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/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CI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src/brainsafe/evaluation/noncns_specificity.py:wilson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tools/build_ml_formulas.py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deployed models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results/tables/rf_conformal.csv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models_rf/binder_modes.json</w:t>
      </w:r>
      <w:r>
        <w:rPr>
          <w:i/>
          <w:iCs/>
        </w:rPr>
        <w:t xml:space="preserve">. Regenerate after any change to the</w:t>
      </w:r>
      <w:r>
        <w:rPr>
          <w:i/>
          <w:iCs/>
        </w:rPr>
        <w:t xml:space="preserve"> </w:t>
      </w:r>
      <w:r>
        <w:rPr>
          <w:i/>
          <w:iCs/>
        </w:rPr>
        <w:t xml:space="preserve">panel with the same command.</w:t>
      </w:r>
    </w:p>
    <w:bookmarkEnd w:id="25"/>
    <w:bookmarkEnd w:id="26"/>
    <w:sectPr>
      <w:footerReference r:id="rId9" w:type="default"/>
      <w:footnotePr>
        <w:numRestart w:val="eachSect"/>
      </w:footnotePr>
      <w:pgSz w:h="16838" w:w="11906"/>
      <w:pgMar w:bottom="1440" w:left="1440" w:right="1440" w:top="1440"/>
      <w:lnNumType w:countBy="1" w:distance="360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uppressLineNumbers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76" w:lineRule="auto"/>
      <w:contextualSpacing/>
      <w:jc w:val="left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before="0" w:line="240" w:lineRule="auto"/>
      <w:jc w:val="left"/>
    </w:pPr>
    <w:rPr>
      <w:rFonts w:ascii="Times New Roman" w:cs="Times New Roman" w:cstheme="majorBidi" w:eastAsiaTheme="majorEastAsia" w:hAnsi="Times New Roman"/>
      <w:i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80" w:before="0" w:line="240" w:lineRule="auto"/>
      <w:jc w:val="left"/>
    </w:pPr>
    <w:rPr>
      <w:rFonts w:ascii="Times New Roman" w:cs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200" w:before="0" w:line="240" w:lineRule="auto"/>
      <w:jc w:val="left"/>
    </w:pPr>
    <w:rPr>
      <w:rFonts w:ascii="Times New Roman" w:cs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80" w:before="120" w:line="240" w:lineRule="auto"/>
      <w:jc w:val="left"/>
    </w:pPr>
    <w:rPr>
      <w:rFonts w:ascii="Times New Roman" w:cs="Times New Roman" w:hAnsi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00" w:before="0" w:line="240" w:lineRule="auto"/>
      <w:jc w:val="left"/>
    </w:pPr>
    <w:rPr>
      <w:rFonts w:ascii="Times New Roman" w:cs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240" w:lineRule="auto"/>
      <w:ind w:hanging="357"/>
      <w:jc w:val="left"/>
    </w:pPr>
    <w:rPr>
      <w:rFonts w:ascii="Times New Roman" w:cs="Times New Roman" w:hAnsi="Times New Roman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 w:line="240" w:lineRule="auto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 w:line="240" w:lineRule="auto"/>
      <w:jc w:val="left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2"/>
    </w:pPr>
    <w:rPr>
      <w:rFonts w:ascii="Times New Roman" w:cs="Times New Roman" w:cstheme="majorBidi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3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4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5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6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7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8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0" w:line="240" w:lineRule="auto"/>
      <w:ind w:firstLine="0" w:left="480" w:right="480"/>
      <w:jc w:val="left"/>
    </w:pPr>
    <w:rPr>
      <w:rFonts w:ascii="Times New Roman" w:cs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80" w:before="0" w:line="240" w:lineRule="auto"/>
      <w:jc w:val="left"/>
    </w:pPr>
    <w:rPr>
      <w:rFonts w:ascii="Times New Roman" w:cs="Times New Roman" w:hAnsi="Times New Roman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8" w:val="single"/>
        <w:bottom w:color="000000" w:space="0" w:sz="8" w:val="single"/>
        <w:left w:val="nil"/>
        <w:right w:val="nil"/>
        <w:insideH w:val="nil"/>
        <w:insideV w:val="nil"/>
      </w:tblBorders>
    </w:tblPr>
    <w:tblStylePr w:type="firstRow">
      <w:rPr>
        <w:b/>
      </w:rPr>
      <w:tcPr>
        <w:tcBorders>
          <w:bottom w:color="000000" w:sz="6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120" w:line="240" w:lineRule="auto"/>
      <w:jc w:val="left"/>
    </w:pPr>
    <w:rPr>
      <w:rFonts w:ascii="Times New Roman" w:cs="Times New Roman" w:hAnsi="Times New Roman"/>
      <w:b/>
      <w:i/>
      <w:sz w:val="22"/>
    </w:rPr>
  </w:style>
  <w:style w:customStyle="1" w:styleId="TableCaption" w:type="paragraph">
    <w:name w:val="Table Caption"/>
    <w:basedOn w:val="Caption"/>
    <w:pPr>
      <w:keepNext/>
      <w:spacing w:after="120" w:before="120" w:line="240" w:lineRule="auto"/>
      <w:jc w:val="left"/>
    </w:pPr>
    <w:rPr>
      <w:rFonts w:ascii="Times New Roman" w:cs="Times New Roman" w:hAnsi="Times New Roman"/>
      <w:b/>
      <w:sz w:val="22"/>
    </w:rPr>
  </w:style>
  <w:style w:customStyle="1" w:styleId="ImageCaption" w:type="paragraph">
    <w:name w:val="Image Caption"/>
    <w:basedOn w:val="Caption"/>
    <w:pPr>
      <w:spacing w:after="200" w:before="120" w:line="240" w:lineRule="auto"/>
      <w:jc w:val="left"/>
    </w:pPr>
    <w:rPr>
      <w:rFonts w:ascii="Times New Roman" w:cs="Times New Roman" w:hAnsi="Times New Roman"/>
      <w:b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2026-09-17T18:06:01Z</dcterms:created>
  <dcterms:modified xsi:type="dcterms:W3CDTF">2026-09-17T18:06:01Z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