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Xe423728672fae46c390e7246847d816e7701c08"/>
    <w:p>
      <w:pPr>
        <w:pStyle w:val="Heading1"/>
      </w:pPr>
      <w:r>
        <w:t xml:space="preserve">BrainSafe AI: a calibrated, applicability-aware web server for multi-endpoint prediction of small-molecule effects on the human brain</w:t>
      </w:r>
    </w:p>
    <w:p>
      <w:pPr>
        <w:pStyle w:val="FirstParagraph"/>
      </w:pPr>
      <w:r>
        <w:rPr>
          <w:b/>
          <w:bCs/>
        </w:rPr>
        <w:t xml:space="preserve">Authors:</w:t>
      </w:r>
      <w:r>
        <w:t xml:space="preserve"> </w:t>
      </w:r>
      <w:r>
        <w:t xml:space="preserve">[Author list to be finalised]</w:t>
      </w:r>
    </w:p>
    <w:p>
      <w:pPr>
        <w:pStyle w:val="BodyText"/>
      </w:pPr>
      <w:r>
        <w:rPr>
          <w:b/>
          <w:bCs/>
        </w:rPr>
        <w:t xml:space="preserve">Affiliation:</w:t>
      </w:r>
      <w:r>
        <w:t xml:space="preserve"> </w:t>
      </w:r>
      <w:r>
        <w:t xml:space="preserve">SAI-Net initiative, Sri Sathya Sai Institute of Higher Learning (SSSIHL), Prasanthi Nilayam, India.</w:t>
      </w:r>
    </w:p>
    <w:p>
      <w:pPr>
        <w:pStyle w:val="BodyText"/>
      </w:pPr>
      <w:r>
        <w:rPr>
          <w:b/>
          <w:bCs/>
        </w:rPr>
        <w:t xml:space="preserve">Correspondence:</w:t>
      </w:r>
      <w:r>
        <w:t xml:space="preserve"> </w:t>
      </w:r>
      <w:r>
        <w:t xml:space="preserve">[email]</w:t>
      </w:r>
    </w:p>
    <w:p>
      <w:pPr>
        <w:pStyle w:val="BodyText"/>
      </w:pPr>
      <w:r>
        <w:rPr>
          <w:b/>
          <w:bCs/>
        </w:rPr>
        <w:t xml:space="preserve">Manuscript type:</w:t>
      </w:r>
      <w:r>
        <w:t xml:space="preserve"> </w:t>
      </w:r>
      <w:r>
        <w:t xml:space="preserve">NAR Web Server Issue.</w:t>
      </w:r>
    </w:p>
    <w:p>
      <w:pPr>
        <w:pStyle w:val="BodyText"/>
      </w:pP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https://github.com/krishna-g-999/brainsafe-ai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Deciding whether a small molecule is likely to act on the brain requires answering several</w:t>
      </w:r>
      <w:r>
        <w:t xml:space="preserve"> </w:t>
      </w:r>
      <w:r>
        <w:t xml:space="preserve">questions at once: can it cross the blood-brain barrier, which disease-relevant targets does it</w:t>
      </w:r>
      <w:r>
        <w:t xml:space="preserve"> </w:t>
      </w:r>
      <w:r>
        <w:t xml:space="preserve">engage, does an achievable dose deliver free drug to the central nervous system, and is it safe.</w:t>
      </w:r>
      <w:r>
        <w:t xml:space="preserve"> </w:t>
      </w:r>
      <w:r>
        <w:t xml:space="preserve">BrainSafe AI is an open web server that answers these questions from chemical structure alone. It</w:t>
      </w:r>
      <w:r>
        <w:t xml:space="preserve"> </w:t>
      </w:r>
      <w:r>
        <w:t xml:space="preserve">integrates a panel of 26 molecular-target models and a measured antioxidant model with a nine-endpoint</w:t>
      </w:r>
      <w:r>
        <w:t xml:space="preserve"> </w:t>
      </w:r>
      <w:r>
        <w:t xml:space="preserve">ADME/exposure layer, every endpoint trained on measured public bioactivity data (ChEMBL, BindingDB and</w:t>
      </w:r>
      <w:r>
        <w:t xml:space="preserve"> </w:t>
      </w:r>
      <w:r>
        <w:t xml:space="preserve">the B3DB blood-brain-barrier database). Predictions are probability-calibrated, carry an</w:t>
      </w:r>
      <w:r>
        <w:t xml:space="preserve"> </w:t>
      </w:r>
      <w:r>
        <w:t xml:space="preserve">endpoint-specific applicability-domain flag with the nearest measured analogue, and are combined into</w:t>
      </w:r>
      <w:r>
        <w:t xml:space="preserve"> </w:t>
      </w:r>
      <w:r>
        <w:t xml:space="preserve">blood-brain-barrier-gated, per-disease relevance scores that are traced through a curated</w:t>
      </w:r>
      <w:r>
        <w:t xml:space="preserve"> </w:t>
      </w:r>
      <w:r>
        <w:t xml:space="preserve">target-to-pathway-to-disease knowledge graph spanning eleven brain conditions. On a scaffold-split</w:t>
      </w:r>
      <w:r>
        <w:t xml:space="preserve"> </w:t>
      </w:r>
      <w:r>
        <w:t xml:space="preserve">benchmark the classifier panel reaches a mean AUROC of 0.92, and the decoy-aware binder classifiers</w:t>
      </w:r>
      <w:r>
        <w:t xml:space="preserve"> </w:t>
      </w:r>
      <w:r>
        <w:t xml:space="preserve">reach 0.86-0.99 against near-miss decoys. The server returns, for every structure, an auditable,</w:t>
      </w:r>
      <w:r>
        <w:t xml:space="preserve"> </w:t>
      </w:r>
      <w:r>
        <w:t xml:space="preserve">mechanistically interpretable brain-relevance profile rather than a single opaque score. BrainSafe AI</w:t>
      </w:r>
      <w:r>
        <w:t xml:space="preserve"> </w:t>
      </w:r>
      <w:r>
        <w:t xml:space="preserve">is freely available at [URL].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Central-nervous-system drug discovery has a distinctive failure profile: a candidate can be potent</w:t>
      </w:r>
      <w:r>
        <w:t xml:space="preserve"> </w:t>
      </w:r>
      <w:r>
        <w:t xml:space="preserve">against its intended target yet never reach the brain, or reach it but carry an unacceptable safety</w:t>
      </w:r>
      <w:r>
        <w:t xml:space="preserve"> </w:t>
      </w:r>
      <w:r>
        <w:t xml:space="preserve">liability, or engage unintended targets that reshape its clinical profile. Answering</w:t>
      </w:r>
      <w:r>
        <w:t xml:space="preserve"> </w:t>
      </w:r>
      <w:r>
        <w:t xml:space="preserve">“will this</w:t>
      </w:r>
      <w:r>
        <w:t xml:space="preserve"> </w:t>
      </w:r>
      <w:r>
        <w:t xml:space="preserve">molecule affect the brain, how, and is it safe”</w:t>
      </w:r>
      <w:r>
        <w:t xml:space="preserve"> </w:t>
      </w:r>
      <w:r>
        <w:t xml:space="preserve">therefore means combining blood-brain-barrier (BBB)</w:t>
      </w:r>
      <w:r>
        <w:t xml:space="preserve"> </w:t>
      </w:r>
      <w:r>
        <w:t xml:space="preserve">penetration, disease-relevant target engagement, free-brain exposure, and safety into one readout.</w:t>
      </w:r>
      <w:r>
        <w:t xml:space="preserve"> </w:t>
      </w:r>
      <w:r>
        <w:t xml:space="preserve">Existing public tools typically address one of these axes in isolation, and large language models,</w:t>
      </w:r>
      <w:r>
        <w:t xml:space="preserve"> </w:t>
      </w:r>
      <w:r>
        <w:t xml:space="preserve">while fluent, fabricate measured identifiers and cannot supply a calibrated, auditable answer.</w:t>
      </w:r>
    </w:p>
    <w:p>
      <w:pPr>
        <w:pStyle w:val="BodyText"/>
      </w:pPr>
      <w:r>
        <w:t xml:space="preserve">BrainSafe AI is a web server that unifies these axes for any user-supplied structure. Its design</w:t>
      </w:r>
      <w:r>
        <w:t xml:space="preserve"> </w:t>
      </w:r>
      <w:r>
        <w:t xml:space="preserve">priorities are three. First, every machine-learning endpoint is trained only on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experimental data, never on qualitative annotation, so predictions are not circular. Second, every</w:t>
      </w:r>
      <w:r>
        <w:t xml:space="preserve"> </w:t>
      </w:r>
      <w:r>
        <w:t xml:space="preserve">prediction is reported with its uncertainty: a calibrated probability, an applicability-domain flag,</w:t>
      </w:r>
      <w:r>
        <w:t xml:space="preserve"> </w:t>
      </w:r>
      <w:r>
        <w:t xml:space="preserve">and the nearest measured analogue behind it, so the user always knows whether a number is</w:t>
      </w:r>
      <w:r>
        <w:t xml:space="preserve"> </w:t>
      </w:r>
      <w:r>
        <w:t xml:space="preserve">interpolation or extrapolation. Third, predictions are made mechanistically interpretable: individual</w:t>
      </w:r>
      <w:r>
        <w:t xml:space="preserve"> </w:t>
      </w:r>
      <w:r>
        <w:t xml:space="preserve">target engagements are traced through a curated target-to-pathway-to-disease knowledge graph into</w:t>
      </w:r>
      <w:r>
        <w:t xml:space="preserve"> </w:t>
      </w:r>
      <w:r>
        <w:t xml:space="preserve">BBB-gated, per-disease relevance scores, so a result is an explanation, not just a number.</w:t>
      </w:r>
    </w:p>
    <w:bookmarkEnd w:id="10"/>
    <w:bookmarkStart w:id="17" w:name="materials-and-methods"/>
    <w:p>
      <w:pPr>
        <w:pStyle w:val="Heading2"/>
      </w:pPr>
      <w:r>
        <w:t xml:space="preserve">Materials and Methods</w:t>
      </w:r>
    </w:p>
    <w:bookmarkStart w:id="11" w:name="training-data"/>
    <w:p>
      <w:pPr>
        <w:pStyle w:val="Heading3"/>
      </w:pPr>
      <w:r>
        <w:t xml:space="preserve">Training data</w:t>
      </w:r>
    </w:p>
    <w:p>
      <w:pPr>
        <w:pStyle w:val="FirstParagraph"/>
      </w:pPr>
      <w:r>
        <w:t xml:space="preserve">Each endpoint is trained on measured public bioactivity. Protein-target activity is pooled from ChEMBL</w:t>
      </w:r>
      <w:r>
        <w:t xml:space="preserve"> </w:t>
      </w:r>
      <w:r>
        <w:t xml:space="preserve">(pChEMBL values) and BindingDB at the compound level; BBB penetration uses the B3DB database augmented</w:t>
      </w:r>
      <w:r>
        <w:t xml:space="preserve"> </w:t>
      </w:r>
      <w:r>
        <w:t xml:space="preserve">with FDA-curated approved drugs; the antioxidant endpoint uses measured DPPH pIC50 values; and the</w:t>
      </w:r>
      <w:r>
        <w:t xml:space="preserve"> </w:t>
      </w:r>
      <w:r>
        <w:t xml:space="preserve">nine ADME/exposure endpoints use measured sets from Therapeutics Data Commons, MoleculeNet, B3DB and</w:t>
      </w:r>
      <w:r>
        <w:t xml:space="preserve"> </w:t>
      </w:r>
      <w:r>
        <w:t xml:space="preserve">ChEMBL. The core target panel is trained on 64,474 measured records across 61,317 unique compounds.</w:t>
      </w:r>
      <w:r>
        <w:t xml:space="preserve"> </w:t>
      </w:r>
      <w:r>
        <w:t xml:space="preserve">The 14 expansion targets contribute a further 1,004-11,474 measured activities each. No value is</w:t>
      </w:r>
      <w:r>
        <w:t xml:space="preserve"> </w:t>
      </w:r>
      <w:r>
        <w:t xml:space="preserve">imputed and no source overrides a measurement.</w:t>
      </w:r>
    </w:p>
    <w:bookmarkEnd w:id="11"/>
    <w:bookmarkStart w:id="12" w:name="methods-compared-and-model-selection"/>
    <w:p>
      <w:pPr>
        <w:pStyle w:val="Heading3"/>
      </w:pPr>
      <w:r>
        <w:t xml:space="preserve">Methods compared and model selection</w:t>
      </w:r>
    </w:p>
    <w:p>
      <w:pPr>
        <w:pStyle w:val="FirstParagraph"/>
      </w:pPr>
      <w:r>
        <w:t xml:space="preserve">Molecules are represented by a 1024-bit ECFP-4 fingerprint plus twelve interpretable physicochemical</w:t>
      </w:r>
      <w:r>
        <w:t xml:space="preserve"> </w:t>
      </w:r>
      <w:r>
        <w:t xml:space="preserve">descriptors (molecular weight, cLogP, topological polar surface area, hydrogen-bond donors and</w:t>
      </w:r>
      <w:r>
        <w:t xml:space="preserve"> </w:t>
      </w:r>
      <w:r>
        <w:t xml:space="preserve">acceptors, rotatable bonds, aromatic rings, fraction sp3, ring count, heavy-atom count, formal charge,</w:t>
      </w:r>
      <w:r>
        <w:t xml:space="preserve"> </w:t>
      </w:r>
      <w:r>
        <w:t xml:space="preserve">and QED drug-likeness). We benchmarked five model families under identical ten-fold cross-validation</w:t>
      </w:r>
      <w:r>
        <w:t xml:space="preserve"> </w:t>
      </w:r>
      <w:r>
        <w:t xml:space="preserve">on both random and scaffold-grouped splits (Figure 3a). Two are baselines: a k-nearest-neighbour</w:t>
      </w:r>
      <w:r>
        <w:t xml:space="preserve"> </w:t>
      </w:r>
      <w:r>
        <w:t xml:space="preserve">Tanimoto read-across, and L2-regularised logistic regression. Two are gradient-boosted tree ensembles:</w:t>
      </w:r>
      <w:r>
        <w:t xml:space="preserve"> </w:t>
      </w:r>
      <w:r>
        <w:t xml:space="preserve">XGBoost and histogram gradient boosting. The fifth is a random forest. Separately, we trained a graph</w:t>
      </w:r>
      <w:r>
        <w:t xml:space="preserve"> </w:t>
      </w:r>
      <w:r>
        <w:t xml:space="preserve">isomorphism network (GIN) directly on molecular graphs to test whether a learned representation would</w:t>
      </w:r>
      <w:r>
        <w:t xml:space="preserve"> </w:t>
      </w:r>
      <w:r>
        <w:t xml:space="preserve">beat fixed descriptors (Figure 3b).</w:t>
      </w:r>
    </w:p>
    <w:p>
      <w:pPr>
        <w:pStyle w:val="BodyText"/>
      </w:pPr>
      <w:r>
        <w:t xml:space="preserve">On the honest scaffold split the random forest gave the highest mean classifier AUROC (0.914) and</w:t>
      </w:r>
      <w:r>
        <w:t xml:space="preserve"> </w:t>
      </w:r>
      <w:r>
        <w:t xml:space="preserve">matched or exceeded every alternative on the like-for-like comparison, ahead of XGBoost (0.905),</w:t>
      </w:r>
      <w:r>
        <w:t xml:space="preserve"> </w:t>
      </w:r>
      <w:r>
        <w:t xml:space="preserve">histogram gradient boosting (0.901), the k-nearest-neighbour read-across (0.867), and logistic</w:t>
      </w:r>
      <w:r>
        <w:t xml:space="preserve"> </w:t>
      </w:r>
      <w:r>
        <w:t xml:space="preserve">regression (0.808); paired DeLong and bootstrap tests confirm the random forest exceeds the</w:t>
      </w:r>
      <w:r>
        <w:t xml:space="preserve"> </w:t>
      </w:r>
      <w:r>
        <w:t xml:space="preserve">read-across on every endpoint. The graph neural network did not outperform the random forest on any</w:t>
      </w:r>
      <w:r>
        <w:t xml:space="preserve"> </w:t>
      </w:r>
      <w:r>
        <w:t xml:space="preserve">tested endpoint (Figure 3b), consistent with the fingerprint-plus-descriptor representation being</w:t>
      </w:r>
      <w:r>
        <w:t xml:space="preserve"> </w:t>
      </w:r>
      <w:r>
        <w:t xml:space="preserve">sufficient at this data scale. We therefore deploy a probability-calibrated random forest for every</w:t>
      </w:r>
      <w:r>
        <w:t xml:space="preserve"> </w:t>
      </w:r>
      <w:r>
        <w:t xml:space="preserve">endpoint: it gives the best honest-split accuracy, calibrates stably, is interpretable through feature</w:t>
      </w:r>
      <w:r>
        <w:t xml:space="preserve"> </w:t>
      </w:r>
      <w:r>
        <w:t xml:space="preserve">importance, and needs no GPU, which keeps the web server lightweight.</w:t>
      </w:r>
    </w:p>
    <w:p>
      <w:pPr>
        <w:pStyle w:val="BodyText"/>
      </w:pPr>
      <w:r>
        <w:t xml:space="preserve">Eight endpoints are trained as classifiers (BBB, AChE, BChE, BACE1, GSK-3beta, MAO-A, MAO-B, and the</w:t>
      </w:r>
      <w:r>
        <w:t xml:space="preserve"> </w:t>
      </w:r>
      <w:r>
        <w:t xml:space="preserve">hERG cardiotoxicity liability). Under ten-fold cross-validation they reach a mean AUROC of 0.960 on</w:t>
      </w:r>
      <w:r>
        <w:t xml:space="preserve"> </w:t>
      </w:r>
      <w:r>
        <w:t xml:space="preserve">random splits and 0.919 on scaffold-grouped splits (range 0.87-0.96, Figure 4a); an external test of</w:t>
      </w:r>
      <w:r>
        <w:t xml:space="preserve"> </w:t>
      </w:r>
      <w:r>
        <w:t xml:space="preserve">the BBB model on 306 FDA-curated approved drugs absent from training gives AUROC 0.774.</w:t>
      </w:r>
    </w:p>
    <w:bookmarkEnd w:id="12"/>
    <w:bookmarkStart w:id="13" w:name="decoy-aware-binder-classifiers"/>
    <w:p>
      <w:pPr>
        <w:pStyle w:val="Heading3"/>
      </w:pPr>
      <w:r>
        <w:t xml:space="preserve">Decoy-aware binder classifiers</w:t>
      </w:r>
    </w:p>
    <w:p>
      <w:pPr>
        <w:pStyle w:val="FirstParagraph"/>
      </w:pPr>
      <w:r>
        <w:t xml:space="preserve">The receptor and transporter targets (D2, A2A, 5-HT2A, SERT and fourteen expansion targets covering</w:t>
      </w:r>
      <w:r>
        <w:t xml:space="preserve"> </w:t>
      </w:r>
      <w:r>
        <w:t xml:space="preserve">serotonergic, dopaminergic, opioid, cannabinoid, histaminergic, adenosine, sigma-1, nicotinic and</w:t>
      </w:r>
      <w:r>
        <w:t xml:space="preserve"> </w:t>
      </w:r>
      <w:r>
        <w:t xml:space="preserve">LRRK2 pharmacology) are reported in ChEMBL almost entirely as actives (82-99% of records), so a naive</w:t>
      </w:r>
      <w:r>
        <w:t xml:space="preserve"> </w:t>
      </w:r>
      <w:r>
        <w:t xml:space="preserve">potency regressor learns to predict the training median for any input and cannot discriminate a real</w:t>
      </w:r>
      <w:r>
        <w:t xml:space="preserve"> </w:t>
      </w:r>
      <w:r>
        <w:t xml:space="preserve">binder from an arbitrary molecule. We therefore model each as a binder-versus-decoy classifier:</w:t>
      </w:r>
      <w:r>
        <w:t xml:space="preserve"> </w:t>
      </w:r>
      <w:r>
        <w:t xml:space="preserve">positives are measured binders (pChEMBL &gt;= 7); negatives are property-matched decoys sampled from a</w:t>
      </w:r>
      <w:r>
        <w:t xml:space="preserve"> </w:t>
      </w:r>
      <w:r>
        <w:t xml:space="preserve">75,000-compound background library with a maximum ECFP-4 Tanimoto below 0.35 to any positive, so the</w:t>
      </w:r>
      <w:r>
        <w:t xml:space="preserve"> </w:t>
      </w:r>
      <w:r>
        <w:t xml:space="preserve">model must learn structure rather than a similarity shortcut. Each classifier is a compact random</w:t>
      </w:r>
      <w:r>
        <w:t xml:space="preserve"> </w:t>
      </w:r>
      <w:r>
        <w:t xml:space="preserve">forest with prefit sigmoid calibration. Validated against held-out near-miss decoys (Tanimoto</w:t>
      </w:r>
      <w:r>
        <w:t xml:space="preserve"> </w:t>
      </w:r>
      <w:r>
        <w:t xml:space="preserve">0.35-0.55) rather than the easy training decoys, these models reach AUROC 0.86-0.99 with a background</w:t>
      </w:r>
      <w:r>
        <w:t xml:space="preserve"> </w:t>
      </w:r>
      <w:r>
        <w:t xml:space="preserve">false-positive rate of 0.6-9% at a 0.5 threshold (Figure 4b).</w:t>
      </w:r>
    </w:p>
    <w:bookmarkEnd w:id="13"/>
    <w:bookmarkStart w:id="14" w:name="Xeac9790db44cdbb0a11f38f1f27dc183961d353"/>
    <w:p>
      <w:pPr>
        <w:pStyle w:val="Heading3"/>
      </w:pPr>
      <w:r>
        <w:t xml:space="preserve">Calibration, applicability domain and exposure</w:t>
      </w:r>
    </w:p>
    <w:p>
      <w:pPr>
        <w:pStyle w:val="FirstParagraph"/>
      </w:pPr>
      <w:r>
        <w:t xml:space="preserve">Every classifier is isotonically calibrated (mean expected calibration error 0.072 to 0.012). For</w:t>
      </w:r>
      <w:r>
        <w:t xml:space="preserve"> </w:t>
      </w:r>
      <w:r>
        <w:t xml:space="preserve">every prediction the server computes the maximum ECFP-4 Tanimoto similarity of the query to each</w:t>
      </w:r>
      <w:r>
        <w:t xml:space="preserve"> </w:t>
      </w:r>
      <w:r>
        <w:t xml:space="preserve">endpoint’s own measured chemistry and reports an endpoint-specific in-domain, near-domain or</w:t>
      </w:r>
      <w:r>
        <w:t xml:space="preserve"> </w:t>
      </w:r>
      <w:r>
        <w:t xml:space="preserve">out-of-domain flag together with the nearest measured analogue and its structure. A nine-endpoint</w:t>
      </w:r>
      <w:r>
        <w:t xml:space="preserve"> </w:t>
      </w:r>
      <w:r>
        <w:t xml:space="preserve">ADME/exposure layer, including a directly-modelled unbound brain-to-plasma partition coefficient</w:t>
      </w:r>
      <w:r>
        <w:t xml:space="preserve"> </w:t>
      </w:r>
      <w:r>
        <w:t xml:space="preserve">(K_p,uu), provides a free-brain-exposure verdict; on known drugs this correctly separates central</w:t>
      </w:r>
      <w:r>
        <w:t xml:space="preserve"> </w:t>
      </w:r>
      <w:r>
        <w:t xml:space="preserve">compounds (diazepam K_p,uu 0.94, donepezil 0.84) from peripheral or efflux-limited ones (atenolol</w:t>
      </w:r>
      <w:r>
        <w:t xml:space="preserve"> </w:t>
      </w:r>
      <w:r>
        <w:t xml:space="preserve">0.07, loperamide 0.04).</w:t>
      </w:r>
    </w:p>
    <w:bookmarkEnd w:id="14"/>
    <w:bookmarkStart w:id="15" w:name="X74bdf2fb4c8d873f9c02d11851d44a9a38dc3c6"/>
    <w:p>
      <w:pPr>
        <w:pStyle w:val="Heading3"/>
      </w:pPr>
      <w:r>
        <w:t xml:space="preserve">Base-rate enrichment and the knowledge graph</w:t>
      </w:r>
    </w:p>
    <w:p>
      <w:pPr>
        <w:pStyle w:val="FirstParagraph"/>
      </w:pPr>
      <w:r>
        <w:t xml:space="preserve">Because several classifier training sets are active-heavy (for example BACE1 91%, GSK-3beta 93%</w:t>
      </w:r>
      <w:r>
        <w:t xml:space="preserve"> </w:t>
      </w:r>
      <w:r>
        <w:t xml:space="preserve">positive), a raw calibrated probability is not evidence of engagement unless it exceeds the base rate.</w:t>
      </w:r>
      <w:r>
        <w:t xml:space="preserve"> </w:t>
      </w:r>
      <w:r>
        <w:t xml:space="preserve">The server therefore scores each target by its</w:t>
      </w:r>
      <w:r>
        <w:t xml:space="preserve"> </w:t>
      </w:r>
      <w:r>
        <w:rPr>
          <w:i/>
          <w:iCs/>
        </w:rPr>
        <w:t xml:space="preserve">enrichment</w:t>
      </w:r>
      <w:r>
        <w:t xml:space="preserve"> </w:t>
      </w:r>
      <w:r>
        <w:t xml:space="preserve">over the endpoint base rate, and each</w:t>
      </w:r>
      <w:r>
        <w:t xml:space="preserve"> </w:t>
      </w:r>
      <w:r>
        <w:t xml:space="preserve">receptor by its floored binder probability, so that a prediction near chance contributes nothing. A</w:t>
      </w:r>
      <w:r>
        <w:t xml:space="preserve"> </w:t>
      </w:r>
      <w:r>
        <w:t xml:space="preserve">curated, versioned knowledge graph maps each target through a biological pathway to the diseases it</w:t>
      </w:r>
      <w:r>
        <w:t xml:space="preserve"> </w:t>
      </w:r>
      <w:r>
        <w:t xml:space="preserve">informs, anchored to KEGG synapse and disease maps (hsa04725, hsa04726, hsa04728, hsa04723, hsa05032,</w:t>
      </w:r>
      <w:r>
        <w:t xml:space="preserve"> </w:t>
      </w:r>
      <w:r>
        <w:t xml:space="preserve">hsa04080, hsa05010, hsa05012), the Reactome KEAP1-NFE2L2 oxidative-stress response (R-HSA-9020702) and</w:t>
      </w:r>
      <w:r>
        <w:t xml:space="preserve"> </w:t>
      </w:r>
      <w:r>
        <w:t xml:space="preserve">IUPHAR Guide to Pharmacology associations. A per-disease relevance score is the strongest engaged</w:t>
      </w:r>
      <w:r>
        <w:t xml:space="preserve"> </w:t>
      </w:r>
      <w:r>
        <w:t xml:space="preserve">target for that disease gated by predicted BBB penetration; taking the strongest rather than an</w:t>
      </w:r>
      <w:r>
        <w:t xml:space="preserve"> </w:t>
      </w:r>
      <w:r>
        <w:t xml:space="preserve">average prevents unrelated mechanisms from diluting a real signal. Coverage spans eleven brain</w:t>
      </w:r>
      <w:r>
        <w:t xml:space="preserve"> </w:t>
      </w:r>
      <w:r>
        <w:t xml:space="preserve">conditions: Alzheimer’s disease, Parkinson’s disease, depression and anxiety, psychosis, cognition,</w:t>
      </w:r>
      <w:r>
        <w:t xml:space="preserve"> </w:t>
      </w:r>
      <w:r>
        <w:t xml:space="preserve">addiction, ADHD, chronic pain, sleep and wakefulness, epilepsy, and neuroprotection.</w:t>
      </w:r>
    </w:p>
    <w:bookmarkEnd w:id="15"/>
    <w:bookmarkStart w:id="16" w:name="web-implementation"/>
    <w:p>
      <w:pPr>
        <w:pStyle w:val="Heading3"/>
      </w:pPr>
      <w:r>
        <w:t xml:space="preserve">Web implementation</w:t>
      </w:r>
    </w:p>
    <w:p>
      <w:pPr>
        <w:pStyle w:val="FirstParagraph"/>
      </w:pPr>
      <w:r>
        <w:t xml:space="preserve">The server is a single-page application built with Streamlit and RDKit. Model inference is</w:t>
      </w:r>
      <w:r>
        <w:t xml:space="preserve"> </w:t>
      </w:r>
      <w:r>
        <w:t xml:space="preserve">cached; a prediction for a novel structure returns in under a second after warm start. The interface,</w:t>
      </w:r>
      <w:r>
        <w:t xml:space="preserve"> </w:t>
      </w:r>
      <w:r>
        <w:t xml:space="preserve">inputs and figures are self-contained and require no installation by the user.</w:t>
      </w:r>
    </w:p>
    <w:bookmarkEnd w:id="16"/>
    <w:bookmarkEnd w:id="17"/>
    <w:bookmarkStart w:id="18" w:name="the-brainsafe-ai-server"/>
    <w:p>
      <w:pPr>
        <w:pStyle w:val="Heading2"/>
      </w:pPr>
      <w:r>
        <w:t xml:space="preserve">The BrainSafe AI server</w:t>
      </w:r>
    </w:p>
    <w:p>
      <w:pPr>
        <w:pStyle w:val="FirstParagraph"/>
      </w:pPr>
      <w:r>
        <w:rPr>
          <w:b/>
          <w:bCs/>
        </w:rPr>
        <w:t xml:space="preserve">Input.</w:t>
      </w:r>
      <w:r>
        <w:t xml:space="preserve"> </w:t>
      </w:r>
      <w:r>
        <w:t xml:space="preserve">The user pastes a SMILES string or selects a curated example, then presses Predict.</w:t>
      </w:r>
      <w:r>
        <w:t xml:space="preserve"> </w:t>
      </w:r>
      <w:r>
        <w:t xml:space="preserve">Unknown structures are parsed and standardised with RDKit (salt stripping, largest-fragment</w:t>
      </w:r>
      <w:r>
        <w:t xml:space="preserve"> </w:t>
      </w:r>
      <w:r>
        <w:t xml:space="preserve">selection).</w:t>
      </w:r>
    </w:p>
    <w:p>
      <w:pPr>
        <w:pStyle w:val="BodyText"/>
      </w:pPr>
      <w:r>
        <w:rPr>
          <w:b/>
          <w:bCs/>
        </w:rPr>
        <w:t xml:space="preserve">Output.</w:t>
      </w:r>
      <w:r>
        <w:t xml:space="preserve"> </w:t>
      </w:r>
      <w:r>
        <w:t xml:space="preserve">Results are laid out as a single scrollable report (Figure 1):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summary card</w:t>
      </w:r>
      <w:r>
        <w:t xml:space="preserve"> </w:t>
      </w:r>
      <w:r>
        <w:t xml:space="preserve">with the rendered structure, the free-brain-exposure verdict driven by K_p,uu, and</w:t>
      </w:r>
      <w:r>
        <w:t xml:space="preserve"> </w:t>
      </w:r>
      <w:r>
        <w:t xml:space="preserve">headline metrics for K_p,uu, BBB penetration and hERG liability.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mechanistic map</w:t>
      </w:r>
      <w:r>
        <w:t xml:space="preserve"> </w:t>
      </w:r>
      <w:r>
        <w:t xml:space="preserve">(Figure 2): a four-tier diagram (compound to target to pathway to disease) in</w:t>
      </w:r>
      <w:r>
        <w:t xml:space="preserve"> </w:t>
      </w:r>
      <w:r>
        <w:t xml:space="preserve">which only engaged targets are drawn, line weight encodes engagement, and node order is arranged to</w:t>
      </w:r>
      <w:r>
        <w:t xml:space="preserve"> </w:t>
      </w:r>
      <w:r>
        <w:t xml:space="preserve">minimise crossings, so the biological rationale for each disease link is immediately legible.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brain-relevance panel</w:t>
      </w:r>
      <w:r>
        <w:t xml:space="preserve"> </w:t>
      </w:r>
      <w:r>
        <w:t xml:space="preserve">giving the BBB-gated score for each of the eleven conditions with its</w:t>
      </w:r>
      <w:r>
        <w:t xml:space="preserve"> </w:t>
      </w:r>
      <w:r>
        <w:t xml:space="preserve">driving mechanism, and a one-line interpretation of the compound’s predicted profile.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target-engagement table</w:t>
      </w:r>
      <w:r>
        <w:t xml:space="preserve"> </w:t>
      </w:r>
      <w:r>
        <w:t xml:space="preserve">reporting each classifier’s calibrated probability, its base rate, and</w:t>
      </w:r>
      <w:r>
        <w:t xml:space="preserve"> </w:t>
      </w:r>
      <w:r>
        <w:t xml:space="preserve">a base-rate-aware engagement call.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receptor-binding table</w:t>
      </w:r>
      <w:r>
        <w:t xml:space="preserve"> </w:t>
      </w:r>
      <w:r>
        <w:t xml:space="preserve">reporting the decoy-aware binder probability for each receptor and</w:t>
      </w:r>
      <w:r>
        <w:t xml:space="preserve"> </w:t>
      </w:r>
      <w:r>
        <w:t xml:space="preserve">transporter, with predicted potency shown only for predicted binders.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ADME/exposure (ADMET) table</w:t>
      </w:r>
      <w:r>
        <w:t xml:space="preserve"> </w:t>
      </w:r>
      <w:r>
        <w:t xml:space="preserve">of the nine measured endpoints, and a physicochemical profile.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applicability and confidence card</w:t>
      </w:r>
      <w:r>
        <w:t xml:space="preserve"> </w:t>
      </w:r>
      <w:r>
        <w:t xml:space="preserve">giving the global and per-endpoint domain flags and the</w:t>
      </w:r>
      <w:r>
        <w:t xml:space="preserve"> </w:t>
      </w:r>
      <w:r>
        <w:t xml:space="preserve">nearest measured analogue with its structure.</w:t>
      </w:r>
    </w:p>
    <w:p>
      <w:pPr>
        <w:pStyle w:val="FirstParagraph"/>
      </w:pPr>
      <w:r>
        <w:t xml:space="preserve">An About tab documents the methods, a model-selection and validation section (random forest versus</w:t>
      </w:r>
      <w:r>
        <w:t xml:space="preserve"> </w:t>
      </w:r>
      <w:r>
        <w:t xml:space="preserve">XGBoost versus GIN, and per-endpoint scaffold AUROC), and an explicit coverage panel that states which</w:t>
      </w:r>
      <w:r>
        <w:t xml:space="preserve"> </w:t>
      </w:r>
      <w:r>
        <w:t xml:space="preserve">mechanisms and diseases the tool can and cannot yet assess, so a null result is read as an honest</w:t>
      </w:r>
      <w:r>
        <w:t xml:space="preserve"> </w:t>
      </w:r>
      <w:r>
        <w:t xml:space="preserve">unknown rather than as inactivity.</w:t>
      </w:r>
    </w:p>
    <w:bookmarkEnd w:id="18"/>
    <w:bookmarkStart w:id="19" w:name="validation-and-use-cases"/>
    <w:p>
      <w:pPr>
        <w:pStyle w:val="Heading2"/>
      </w:pPr>
      <w:r>
        <w:t xml:space="preserve">Validation and use cases</w:t>
      </w:r>
    </w:p>
    <w:p>
      <w:pPr>
        <w:pStyle w:val="FirstParagraph"/>
      </w:pPr>
      <w:r>
        <w:t xml:space="preserve">Across a reference panel of well-characterised CNS drugs the top predicted disease matched the known</w:t>
      </w:r>
      <w:r>
        <w:t xml:space="preserve"> </w:t>
      </w:r>
      <w:r>
        <w:t xml:space="preserve">indication for donepezil (Alzheimer’s), selegiline (Parkinson’s), fluoxetine (depression),</w:t>
      </w:r>
      <w:r>
        <w:t xml:space="preserve"> </w:t>
      </w:r>
      <w:r>
        <w:t xml:space="preserve">haloperidol (psychosis), morphine (chronic pain), methylphenidate (addiction/ADHD) and resveratrol</w:t>
      </w:r>
      <w:r>
        <w:t xml:space="preserve"> </w:t>
      </w:r>
      <w:r>
        <w:t xml:space="preserve">(neuroprotection). Two acetylcholinesterase inhibitors of atypical chemotype (rivastigmine,</w:t>
      </w:r>
      <w:r>
        <w:t xml:space="preserve"> </w:t>
      </w:r>
      <w:r>
        <w:t xml:space="preserve">galantamine) were under-called to low magnitude rather than mis-assigned, and were correctly flagged</w:t>
      </w:r>
      <w:r>
        <w:t xml:space="preserve"> </w:t>
      </w:r>
      <w:r>
        <w:t xml:space="preserve">as low-confidence by the applicability-domain layer, illustrating the value of reporting uncertainty</w:t>
      </w:r>
      <w:r>
        <w:t xml:space="preserve"> </w:t>
      </w:r>
      <w:r>
        <w:t xml:space="preserve">alongside every prediction. The decoy-aware receptor models recover expected selectivity, for example</w:t>
      </w:r>
      <w:r>
        <w:t xml:space="preserve"> </w:t>
      </w:r>
      <w:r>
        <w:t xml:space="preserve">haloperidol as a D2 and 5-HT2A binder and fluoxetine as a selective serotonin-transporter binder,</w:t>
      </w:r>
      <w:r>
        <w:t xml:space="preserve"> </w:t>
      </w:r>
      <w:r>
        <w:t xml:space="preserve">while non-CNS controls (aspirin, caffeine at the modelled targets) return no distinctive engagement.</w:t>
      </w:r>
    </w:p>
    <w:bookmarkEnd w:id="19"/>
    <w:bookmarkStart w:id="20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BrainSafe AI is, to our knowledge, the first public web server to combine BBB penetration, a broad</w:t>
      </w:r>
      <w:r>
        <w:t xml:space="preserve"> </w:t>
      </w:r>
      <w:r>
        <w:t xml:space="preserve">measured-data target panel, free-brain exposure, and safety into a single calibrated,</w:t>
      </w:r>
      <w:r>
        <w:t xml:space="preserve"> </w:t>
      </w:r>
      <w:r>
        <w:t xml:space="preserve">applicability-aware, mechanistically interpretable readout for arbitrary structures. Its central</w:t>
      </w:r>
      <w:r>
        <w:t xml:space="preserve"> </w:t>
      </w:r>
      <w:r>
        <w:t xml:space="preserve">design choice is honesty about uncertainty: enrichment over base rate rather than raw probability,</w:t>
      </w:r>
      <w:r>
        <w:t xml:space="preserve"> </w:t>
      </w:r>
      <w:r>
        <w:t xml:space="preserve">per-endpoint applicability domains, and an explicit coverage statement. The main limitations are</w:t>
      </w:r>
      <w:r>
        <w:t xml:space="preserve"> </w:t>
      </w:r>
      <w:r>
        <w:t xml:space="preserve">inherited from the training data. Target coverage, though broad, is finite: ionotropic glutamate and</w:t>
      </w:r>
      <w:r>
        <w:t xml:space="preserve"> </w:t>
      </w:r>
      <w:r>
        <w:t xml:space="preserve">GABA-A receptors, protein-aggregation and neuroinflammation phenotypes, and epigenetic targets are not</w:t>
      </w:r>
      <w:r>
        <w:t xml:space="preserve"> </w:t>
      </w:r>
      <w:r>
        <w:t xml:space="preserve">yet modelled, and diseases outside the current mechanistic panel (for example ALS, Huntington’s</w:t>
      </w:r>
      <w:r>
        <w:t xml:space="preserve"> </w:t>
      </w:r>
      <w:r>
        <w:t xml:space="preserve">disease and stroke) are not scored. Predictions are of molecular target engagement and physicochemical</w:t>
      </w:r>
      <w:r>
        <w:t xml:space="preserve"> </w:t>
      </w:r>
      <w:r>
        <w:t xml:space="preserve">properties, not clinical efficacy, and do not distinguish agonism from antagonism. The tool is</w:t>
      </w:r>
      <w:r>
        <w:t xml:space="preserve"> </w:t>
      </w:r>
      <w:r>
        <w:t xml:space="preserve">intended for research prioritisation and hypothesis generation and is not for medical, diagnostic or</w:t>
      </w:r>
      <w:r>
        <w:t xml:space="preserve"> </w:t>
      </w:r>
      <w:r>
        <w:t xml:space="preserve">treatment decisions.</w:t>
      </w:r>
    </w:p>
    <w:bookmarkEnd w:id="20"/>
    <w:bookmarkStart w:id="21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All code, trained models, curated knowledge graph and validation artifacts are available at</w:t>
      </w:r>
      <w:r>
        <w:t xml:space="preserve"> </w:t>
      </w:r>
      <w:r>
        <w:t xml:space="preserve">https://github.com/krishna-g-999/brainsafe-ai under [license]. The server is freely accessible at</w:t>
      </w:r>
      <w:r>
        <w:t xml:space="preserve"> </w:t>
      </w:r>
      <w:r>
        <w:t xml:space="preserve">[URL] with no login requirement.</w:t>
      </w:r>
    </w:p>
    <w:bookmarkEnd w:id="21"/>
    <w:bookmarkStart w:id="22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[To be completed.]</w:t>
      </w:r>
    </w:p>
    <w:bookmarkEnd w:id="22"/>
    <w:bookmarkStart w:id="32" w:name="figure-legends"/>
    <w:p>
      <w:pPr>
        <w:pStyle w:val="Heading2"/>
      </w:pPr>
      <w:r>
        <w:t xml:space="preserve">Figure legends</w:t>
      </w:r>
    </w:p>
    <w:p>
      <w:pPr>
        <w:pStyle w:val="FirstParagraph"/>
      </w:pPr>
      <w:r>
        <w:rPr>
          <w:b/>
          <w:bCs/>
        </w:rPr>
        <w:t xml:space="preserve">Figure 1.</w:t>
      </w:r>
      <w:r>
        <w:t xml:space="preserve"> </w:t>
      </w:r>
      <w:r>
        <w:t xml:space="preserve">The BrainSafe AI report for a query compound: summary card, mechanistic map,</w:t>
      </w:r>
      <w:r>
        <w:t xml:space="preserve"> </w:t>
      </w:r>
      <w:r>
        <w:t xml:space="preserve">brain-relevance panel, target and receptor tables, ADMET panel, and the applicability and confidence</w:t>
      </w:r>
      <w:r>
        <w:t xml:space="preserve"> </w:t>
      </w:r>
      <w:r>
        <w:t xml:space="preserve">card.</w:t>
      </w:r>
    </w:p>
    <w:p>
      <w:pPr>
        <w:pStyle w:val="CaptionedFigure"/>
      </w:pPr>
      <w:r>
        <w:drawing>
          <wp:inline>
            <wp:extent cx="5334000" cy="3743587"/>
            <wp:effectExtent b="0" l="0" r="0" t="0"/>
            <wp:docPr descr="Figure 2" title="" id="24" name="Picture"/>
            <a:graphic>
              <a:graphicData uri="http://schemas.openxmlformats.org/drawingml/2006/picture">
                <pic:pic>
                  <pic:nvPicPr>
                    <pic:cNvPr descr="figures/Figure2_mechanism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3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The mechanistic map, shown for haloperidol. A four-tier diagram (compound, target,</w:t>
      </w:r>
      <w:r>
        <w:t xml:space="preserve"> </w:t>
      </w:r>
      <w:r>
        <w:t xml:space="preserve">pathway, disease) in which only engaged targets are drawn, connector weight encodes engagement</w:t>
      </w:r>
      <w:r>
        <w:t xml:space="preserve"> </w:t>
      </w:r>
      <w:r>
        <w:t xml:space="preserve">strength, node order is arranged to minimise crossings, and pathways are anchored to KEGG and Reactome</w:t>
      </w:r>
      <w:r>
        <w:t xml:space="preserve"> </w:t>
      </w:r>
      <w:r>
        <w:t xml:space="preserve">identifiers.</w:t>
      </w:r>
    </w:p>
    <w:p>
      <w:pPr>
        <w:pStyle w:val="CaptionedFigure"/>
      </w:pPr>
      <w:r>
        <w:drawing>
          <wp:inline>
            <wp:extent cx="5334000" cy="2051538"/>
            <wp:effectExtent b="0" l="0" r="0" t="0"/>
            <wp:docPr descr="Figure 3" title="" id="27" name="Picture"/>
            <a:graphic>
              <a:graphicData uri="http://schemas.openxmlformats.org/drawingml/2006/picture">
                <pic:pic>
                  <pic:nvPicPr>
                    <pic:cNvPr descr="figures/Figure3_model_selectio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Model selection. (a) Mean scaffold-split AUROC across the classifier panel for the five</w:t>
      </w:r>
      <w:r>
        <w:t xml:space="preserve"> </w:t>
      </w:r>
      <w:r>
        <w:t xml:space="preserve">model families compared: logistic regression, k-nearest-neighbour read-across, histogram gradient</w:t>
      </w:r>
      <w:r>
        <w:t xml:space="preserve"> </w:t>
      </w:r>
      <w:r>
        <w:t xml:space="preserve">boosting, XGBoost, and the deployed random forest (gold). (b) Held-out comparison of a graph</w:t>
      </w:r>
      <w:r>
        <w:t xml:space="preserve"> </w:t>
      </w:r>
      <w:r>
        <w:t xml:space="preserve">isomorphism network against the random forest per endpoint; the random forest wins on every endpoint.</w:t>
      </w:r>
    </w:p>
    <w:p>
      <w:pPr>
        <w:pStyle w:val="CaptionedFigure"/>
      </w:pPr>
      <w:r>
        <w:drawing>
          <wp:inline>
            <wp:extent cx="5334000" cy="2055931"/>
            <wp:effectExtent b="0" l="0" r="0" t="0"/>
            <wp:docPr descr="Figure 4" title="" id="30" name="Picture"/>
            <a:graphic>
              <a:graphicData uri="http://schemas.openxmlformats.org/drawingml/2006/picture">
                <pic:pic>
                  <pic:nvPicPr>
                    <pic:cNvPr descr="figures/Figure4_validat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5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</w:t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Validation. (a) Per-endpoint scaffold ten-fold AUROC for the eight classifier endpoints</w:t>
      </w:r>
      <w:r>
        <w:t xml:space="preserve"> </w:t>
      </w:r>
      <w:r>
        <w:t xml:space="preserve">(bars, mean; whiskers, standard deviation across folds). (b) Hard-decoy AUROC for the eighteen</w:t>
      </w:r>
      <w:r>
        <w:t xml:space="preserve"> </w:t>
      </w:r>
      <w:r>
        <w:t xml:space="preserve">decoy-aware receptor and transporter binder classifiers, evaluated against near-miss decoys.</w:t>
      </w:r>
    </w:p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[To be completed. Anchor citations: ChEMBL; BindingDB; B3DB; RDKit; Therapeutics Data Commons;</w:t>
      </w:r>
      <w:r>
        <w:t xml:space="preserve"> </w:t>
      </w:r>
      <w:r>
        <w:t xml:space="preserve">KEGG; Reactome; IUPHAR/BPS Guide to Pharmacology; scikit-learn; Streamlit; Mondrian conformal</w:t>
      </w:r>
      <w:r>
        <w:t xml:space="preserve"> </w:t>
      </w:r>
      <w:r>
        <w:t xml:space="preserve">prediction; isotonic calibration.]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2026-07-31T05:38:47Z</dcterms:created>
  <dcterms:modified xsi:type="dcterms:W3CDTF">2026-07-31T05:38:47Z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