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receptor; mean sensitivity is 0.8983 with a median of 0.932, ranging from 0.639 at COX-2 to</w:t>
      </w:r>
      <w:r>
        <w:t xml:space="preserve"> </w:t>
      </w:r>
      <w:r>
        <w:t xml:space="preserve">0.997 (</w:t>
      </w:r>
      <w:r>
        <w:rPr>
          <w:rStyle w:val="VerbatimChar"/>
        </w:rPr>
        <w:t xml:space="preserve">submission_package/07_MODELS/binder_panel_registry.json</w:t>
      </w:r>
      <w:r>
        <w:t xml:space="preserve">). Quoting either mean without its</w:t>
      </w:r>
      <w:r>
        <w:t xml:space="preserve"> </w:t>
      </w:r>
      <w:r>
        <w:t xml:space="preserve">range would flatter the panel, and the endpoints at the bottom of those ranges are named wherever the</w:t>
      </w:r>
      <w:r>
        <w:t xml:space="preserve"> </w:t>
      </w:r>
      <w:r>
        <w:t xml:space="preserve">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36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949 returned no actionable disease signal, a specificity of 0.949 with a 95 per cent interval</w:t>
      </w:r>
      <w:r>
        <w:t xml:space="preserve"> </w:t>
      </w:r>
      <w:r>
        <w:t xml:space="preserve">of 0.9336 to 0.961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[30]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[12].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[19],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 the</w:t>
      </w:r>
      <w:r>
        <w:t xml:space="preserve"> </w:t>
      </w:r>
      <w:r>
        <w:t xml:space="preserve">feature-vector overlap reaches 544. And across the panel, 52 targets were checked for scaffold</w:t>
      </w:r>
      <w:r>
        <w:t xml:space="preserve"> </w:t>
      </w:r>
      <w:r>
        <w:t xml:space="preserve">overlap between 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2026-08-26T08:27:59Z</dcterms:created>
  <dcterms:modified xsi:type="dcterms:W3CDTF">2026-08-26T08:27:59Z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