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0.9212 mean AUROC, ahead of XGBoost (0.9156),</w:t>
      </w:r>
      <w:r>
        <w:t xml:space="preserve"> </w:t>
      </w:r>
      <w:r>
        <w:t xml:space="preserve">histogram gradient boosting (0.9149), the read-across (0.8829) and logistic regression (0.8352), and</w:t>
      </w:r>
      <w:r>
        <w:t xml:space="preserve"> </w:t>
      </w:r>
      <w:r>
        <w:t xml:space="preserve">it exceeds the read-across on all thirteen endpoints, by margins running from 0.0095 at D2 to 0.1099</w:t>
      </w:r>
      <w:r>
        <w:t xml:space="preserve"> </w:t>
      </w:r>
      <w:r>
        <w:t xml:space="preserve">on the antioxidant assay. It is best on seven of the eight classification endpoints, losing AChE to</w:t>
      </w:r>
      <w:r>
        <w:t xml:space="preserve"> </w:t>
      </w:r>
      <w:r>
        <w:t xml:space="preserve">histogram gradient boosting at 0.9148 against 0.9241. It 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(26):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0.764, both measured on actives</w:t>
      </w:r>
      <w:r>
        <w:t xml:space="preserve"> </w:t>
      </w:r>
      <w:r>
        <w:t xml:space="preserve">withheld by scaffold, at thresholds constrained simultaneously by held-out measured inactives and by</w:t>
      </w:r>
      <w:r>
        <w:t xml:space="preserve"> </w:t>
      </w:r>
      <w:r>
        <w:t xml:space="preserve">the false-positive rate on a disjoint pool of unrelated chemistry. Both figures are means over 47</w:t>
      </w:r>
      <w:r>
        <w:t xml:space="preserve"> </w:t>
      </w:r>
      <w:r>
        <w:t xml:space="preserve">endpoints and the spread behind them is wide: AUROC ranges from 0.719 at GABA-A to 0.985 at CGRP,</w:t>
      </w:r>
      <w:r>
        <w:t xml:space="preserve"> </w:t>
      </w:r>
      <w:r>
        <w:t xml:space="preserve">and sensitivity from 0.303 at GABA-A to 0.993 at CGRP with a median of 0.835, so the two means</w:t>
      </w:r>
      <w:r>
        <w:t xml:space="preserve"> </w:t>
      </w:r>
      <w:r>
        <w:t xml:space="preserve">describe the panel and not any particular endpoint. Supplementary Table S1 gives every endpoint</w:t>
      </w:r>
      <w:r>
        <w:t xml:space="preserve"> </w:t>
      </w:r>
      <w:r>
        <w:t xml:space="preserve">separately.</w:t>
      </w:r>
    </w:p>
    <w:p>
      <w:pPr>
        <w:pStyle w:val="BodyText"/>
      </w:pPr>
      <w:r>
        <w:t xml:space="preserve">The sensitivity figure carries a correction we report rather than leave for a reader to find. Four</w:t>
      </w:r>
      <w:r>
        <w:t xml:space="preserve"> </w:t>
      </w:r>
      <w:r>
        <w:t xml:space="preserve">scripts write this field in sequence, and the last of them scored every active in the endpoint table,</w:t>
      </w:r>
      <w:r>
        <w:t xml:space="preserve"> </w:t>
      </w:r>
      <w:r>
        <w:t xml:space="preserve">roughly four fifths of which the model had been fitted on, while leaving the field’s own basis</w:t>
      </w:r>
      <w:r>
        <w:t xml:space="preserve"> </w:t>
      </w:r>
      <w:r>
        <w:t xml:space="preserve">annotation reading that the measurement was held out. The panel mean was therefore published as 0.898</w:t>
      </w:r>
      <w:r>
        <w:t xml:space="preserve"> </w:t>
      </w:r>
      <w:r>
        <w:t xml:space="preserve">against a held-out 0.764, an inflation of 0.134, with nothing in the record disagreeing with anything</w:t>
      </w:r>
      <w:r>
        <w:t xml:space="preserve"> </w:t>
      </w:r>
      <w:r>
        <w:t xml:space="preserve">else. The scoring script now reads the scaffold-held-out partition and declares its basis when it</w:t>
      </w:r>
      <w:r>
        <w:t xml:space="preserve"> </w:t>
      </w:r>
      <w:r>
        <w:t xml:space="preserve">cannot, the registry has been recomputed from that partition and agrees with the threshold table on</w:t>
      </w:r>
      <w:r>
        <w:t xml:space="preserve"> </w:t>
      </w:r>
      <w:r>
        <w:t xml:space="preserve">all 47 deployed endpoints, and a regression test fails if any deployed endpoint reports sensitivity</w:t>
      </w:r>
      <w:r>
        <w:t xml:space="preserve"> </w:t>
      </w:r>
      <w:r>
        <w:t xml:space="preserve">on an undeclared basis. Six endpoints fall below the reliability gate on the corrected figure, against</w:t>
      </w:r>
      <w:r>
        <w:t xml:space="preserve"> </w:t>
      </w:r>
      <w:r>
        <w:t xml:space="preserve">one before: COX-2, GABA-A, GluN2B, P2X7, SIRT1 and TAAR1. They remain deployed, because each holds</w:t>
      </w:r>
      <w:r>
        <w:t xml:space="preserve"> </w:t>
      </w:r>
      <w:r>
        <w:t xml:space="preserve">its background false-positive rate at or below target and is therefore weak rather than misleading,</w:t>
      </w:r>
      <w:r>
        <w:t xml:space="preserve"> </w:t>
      </w:r>
      <w:r>
        <w:t xml:space="preserve">and the interface marks a negative call from any of them as low-powered.</w:t>
      </w:r>
    </w:p>
    <w:p>
      <w:pPr>
        <w:pStyle w:val="BodyText"/>
      </w:pPr>
      <w:r>
        <w:t xml:space="preserve">Five endpoints are withdrawn outright: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only after its controls were corrected; each is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2026-08-30T03:19:09Z</dcterms:created>
  <dcterms:modified xsi:type="dcterms:W3CDTF">2026-08-30T03:19:09Z</dcterms:modified>
</cp:coreProperties>
</file>

<file path=docProps/custom.xml><?xml version="1.0" encoding="utf-8"?>
<Properties xmlns="http://schemas.openxmlformats.org/officeDocument/2006/custom-properties" xmlns:vt="http://schemas.openxmlformats.org/officeDocument/2006/docPropsVTypes"/>
</file>