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39.png" ContentType="image/png"/>
  <Override PartName="/word/media/rId45.png" ContentType="image/png"/>
  <Override PartName="/word/media/rId4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Krishnasalini Gunanathan¹, Raghunatha Sarma¹, Sai Shyam¹, Ramya E. M.¹,</w:t>
      </w:r>
      <w:r>
        <w:t xml:space="preserve"> </w:t>
      </w:r>
      <w:r>
        <w:t xml:space="preserve">Venketesh Sivaramakrishnan¹</w:t>
      </w:r>
    </w:p>
    <w:p>
      <w:pPr>
        <w:pStyle w:val="BodyText"/>
      </w:pPr>
      <w:r>
        <w:rPr>
          <w:b/>
          <w:bCs/>
        </w:rPr>
        <w:t xml:space="preserve">Affiliation:</w:t>
      </w:r>
      <w:r>
        <w:t xml:space="preserve"> </w:t>
      </w:r>
      <w:r>
        <w:t xml:space="preserve">¹Sri Sathya Sai Institute of Higher Learning (SSSIHL), Puttaparthi, Andhra Pradesh 515134, India.</w:t>
      </w:r>
    </w:p>
    <w:p>
      <w:pPr>
        <w:pStyle w:val="BodyText"/>
      </w:pPr>
      <w:r>
        <w:rPr>
          <w:b/>
          <w:bCs/>
        </w:rPr>
        <w:t xml:space="preserve">Correspondence:</w:t>
      </w:r>
      <w:r>
        <w:t xml:space="preserve"> </w:t>
      </w:r>
      <w:r>
        <w:t xml:space="preserve">Prof. Venketesh Sivaramakrishnan, svenketesh@sssihl.edu.in</w:t>
      </w:r>
    </w:p>
    <w:p>
      <w:pPr>
        <w:pStyle w:val="BodyText"/>
      </w:pPr>
      <w:r>
        <w:rPr>
          <w:b/>
          <w:bCs/>
        </w:rPr>
        <w:t xml:space="preserve">Manuscript type:</w:t>
      </w:r>
      <w:r>
        <w:t xml:space="preserve"> </w:t>
      </w:r>
      <w:r>
        <w:t xml:space="preserve">NAR Web Server Issue.</w:t>
      </w:r>
    </w:p>
    <w:p>
      <w:pPr>
        <w:pStyle w:val="BodyText"/>
      </w:pPr>
      <w:r>
        <w:rPr>
          <w:b/>
          <w:bCs/>
        </w:rPr>
        <w:t xml:space="preserve">Graphical abstract:</w:t>
      </w:r>
      <w:r>
        <w:t xml:space="preserve"> </w:t>
      </w:r>
      <w:r>
        <w:t xml:space="preserve">submitted as a separate file,</w:t>
      </w:r>
      <w:r>
        <w:t xml:space="preserve"> </w:t>
      </w:r>
      <w:r>
        <w:rPr>
          <w:rStyle w:val="VerbatimChar"/>
        </w:rPr>
        <w:t xml:space="preserve">manuscript/figures/GraphicalAbstract.png</w:t>
      </w:r>
      <w:r>
        <w:t xml:space="preserve"> </w:t>
      </w:r>
      <w:r>
        <w:t xml:space="preserve">(and</w:t>
      </w:r>
      <w:r>
        <w:t xml:space="preserve"> </w:t>
      </w:r>
      <w:r>
        <w:rPr>
          <w:rStyle w:val="VerbatimChar"/>
        </w:rPr>
        <w:t xml:space="preserve">.pdf</w:t>
      </w:r>
      <w:r>
        <w:t xml:space="preserve">).</w:t>
      </w:r>
    </w:p>
    <w:p>
      <w:pPr>
        <w:pStyle w:val="BodyText"/>
      </w:pPr>
      <w:r>
        <w:rPr>
          <w:b/>
          <w:bCs/>
        </w:rPr>
        <w:t xml:space="preserve">Key Points</w:t>
      </w:r>
    </w:p>
    <w:p>
      <w:pPr>
        <w:pStyle w:val="Compact"/>
        <w:numPr>
          <w:ilvl w:val="0"/>
          <w:numId w:val="1001"/>
        </w:numPr>
      </w:pPr>
      <w:r>
        <w:t xml:space="preserve">BrainSafe AI profiles small-molecule mechanism in the human brain from structure alone, gating</w:t>
      </w:r>
      <w:r>
        <w:t xml:space="preserve"> </w:t>
      </w:r>
      <w:r>
        <w:t xml:space="preserve">every target score by predicted exposure so potency at a target a compound cannot reach</w:t>
      </w:r>
      <w:r>
        <w:t xml:space="preserve"> </w:t>
      </w:r>
      <w:r>
        <w:t xml:space="preserve">contributes nothing to the output.</w:t>
      </w:r>
    </w:p>
    <w:p>
      <w:pPr>
        <w:pStyle w:val="Compact"/>
        <w:numPr>
          <w:ilvl w:val="0"/>
          <w:numId w:val="1001"/>
        </w:numPr>
      </w:pPr>
      <w:r>
        <w:t xml:space="preserve">Every one of its 74 cross-validated estimators is scaffold-grouped cross-validated and carries a</w:t>
      </w:r>
      <w:r>
        <w:t xml:space="preserve"> </w:t>
      </w:r>
      <w:r>
        <w:t xml:space="preserve">calibrated probability; the 22 target-potency, exposure and safety estimators are additionally</w:t>
      </w:r>
      <w:r>
        <w:t xml:space="preserve"> </w:t>
      </w:r>
      <w:r>
        <w:t xml:space="preserve">validated under a random split, the core classifiers reporting a conformal interval as well, and</w:t>
      </w:r>
      <w:r>
        <w:t xml:space="preserve"> </w:t>
      </w:r>
      <w:r>
        <w:t xml:space="preserve">the server reports silence rather than a guess for chemistry outside its measured competence.</w:t>
      </w:r>
    </w:p>
    <w:p>
      <w:pPr>
        <w:pStyle w:val="Compact"/>
        <w:numPr>
          <w:ilvl w:val="0"/>
          <w:numId w:val="1001"/>
        </w:numPr>
      </w:pPr>
      <w:r>
        <w:t xml:space="preserve">Its negative class is recovered from compounds measured and found inactive rather than simulated</w:t>
      </w:r>
      <w:r>
        <w:t xml:space="preserve"> </w:t>
      </w:r>
      <w:r>
        <w:t xml:space="preserve">with decoys, and every validation, including six adversarial checks written so that each could</w:t>
      </w:r>
      <w:r>
        <w:t xml:space="preserve"> </w:t>
      </w:r>
      <w:r>
        <w:t xml:space="preserve">fail, is reported whichever way it falls, which led to withdrawing two endpoints that could not</w:t>
      </w:r>
      <w:r>
        <w:t xml:space="preserve"> </w:t>
      </w:r>
      <w:r>
        <w:t xml:space="preserve">separate a real ligand from an unrelated metabolite.</w:t>
      </w:r>
    </w:p>
    <w:p>
      <w:r>
        <w:pict>
          <v:rect style="width:0;height:1.5pt" o:hralign="center" o:hrstd="t" o:hr="t"/>
        </w:pict>
      </w:r>
    </w:p>
    <w:bookmarkStart w:id="18"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The measured-label classifiers are validated</w:t>
      </w:r>
      <w:r>
        <w:t xml:space="preserve"> </w:t>
      </w:r>
      <w:r>
        <w:t xml:space="preserve">under both random and scaffold-grouped 10-fold cross-validation: mean AUROC 0.958 and 0.925</w:t>
      </w:r>
      <w:r>
        <w:t xml:space="preserve"> </w:t>
      </w:r>
      <w:r>
        <w:t xml:space="preserve">respectively,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0.925</w:t>
      </w:r>
      <w:r>
        <w:t xml:space="preserve"> </w:t>
      </w:r>
      <w:r>
        <w:t xml:space="preserve">(95% CI 0.907 to 0.940).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18"/>
    <w:bookmarkStart w:id="19" w:name="introduction"/>
    <w:p>
      <w:pPr>
        <w:pStyle w:val="Heading2"/>
      </w:pPr>
      <w:r>
        <w:t xml:space="preserve">Introduction</w:t>
      </w:r>
    </w:p>
    <w:p>
      <w:pPr>
        <w:pStyle w:val="FirstParagraph"/>
      </w:pPr>
      <w:r>
        <w:t xml:space="preserve">Central nervous system drug discovery fails more often, and later, than discovery for most other</w:t>
      </w:r>
      <w:r>
        <w:t xml:space="preserve"> </w:t>
      </w:r>
      <w:r>
        <w:t xml:space="preserve">therapeutic areas (4). A compound can be potent at its intended target and never</w:t>
      </w:r>
      <w:r>
        <w:t xml:space="preserve"> </w:t>
      </w:r>
      <w:r>
        <w:t xml:space="preserve">reach the brain, or reach it and carry an unacceptable liability, or engage targets nobody tested and</w:t>
      </w:r>
      <w:r>
        <w:t xml:space="preserve"> </w:t>
      </w:r>
      <w:r>
        <w:t xml:space="preserve">acquire a clinical profile nobody predicted. Pharmacokinetics and the barrier itself, rather than</w:t>
      </w:r>
      <w:r>
        <w:t xml:space="preserve"> </w:t>
      </w:r>
      <w:r>
        <w:t xml:space="preserve">target affinity, account for a large share of central attrition (5), and the quantity</w:t>
      </w:r>
      <w:r>
        <w:t xml:space="preserve"> </w:t>
      </w:r>
      <w:r>
        <w:t xml:space="preserve">that governs central action is not total brain concentration but the unbound brain-to-plasma ratio</w:t>
      </w:r>
      <w:r>
        <w:t xml:space="preserve"> </w:t>
      </w:r>
      <w:r>
        <w:t xml:space="preserve">(6).</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(7)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every adversarial check is written so that it could fail and is reported</w:t>
      </w:r>
      <w:r>
        <w:t xml:space="preserve"> </w:t>
      </w:r>
      <w:r>
        <w:t xml:space="preserve">whichever way it falls, and one of the six passes only after a flawed control set was corrected</w:t>
      </w:r>
      <w:r>
        <w:t xml:space="preserve"> </w:t>
      </w:r>
      <w:r>
        <w:t xml:space="preserve">rather than its criterion loosened; and the server stays silent rather than guessing on chemistry it</w:t>
      </w:r>
      <w:r>
        <w:t xml:space="preserve"> </w:t>
      </w:r>
      <w:r>
        <w:t xml:space="preserve">cannot place.</w:t>
      </w:r>
    </w:p>
    <w:p>
      <w:r>
        <w:pict>
          <v:rect style="width:0;height:1.5pt" o:hralign="center" o:hrstd="t" o:hr="t"/>
        </w:pict>
      </w:r>
    </w:p>
    <w:bookmarkEnd w:id="19"/>
    <w:bookmarkStart w:id="26" w:name="materials-and-methods"/>
    <w:p>
      <w:pPr>
        <w:pStyle w:val="Heading2"/>
      </w:pPr>
      <w:r>
        <w:t xml:space="preserve">Materials and Methods</w:t>
      </w:r>
    </w:p>
    <w:bookmarkStart w:id="20"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(8), and the amyloid and tau axes (9); monoamine oxidase B (10) and LRRK2</w:t>
      </w:r>
      <w:r>
        <w:t xml:space="preserve"> </w:t>
      </w:r>
      <w:r>
        <w:t xml:space="preserve">(11)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(12); and three axes implicated across several</w:t>
      </w:r>
      <w:r>
        <w:t xml:space="preserve"> </w:t>
      </w:r>
      <w:r>
        <w:t xml:space="preserve">neurodegenerative conditions rather than tied to one, NLRP3-driven neuroinflammation</w:t>
      </w:r>
      <w:r>
        <w:t xml:space="preserve"> </w:t>
      </w:r>
      <w:r>
        <w:t xml:space="preserve">(13), KEAP1-NRF2 antioxidant signalling (14), and histone deacetylase activity,</w:t>
      </w:r>
      <w:r>
        <w:t xml:space="preserve"> </w:t>
      </w:r>
      <w:r>
        <w:t xml:space="preserve">whose genetic removal modifies pathology in Huntington’s disease models (15). Glutamatergic</w:t>
      </w:r>
      <w:r>
        <w:t xml:space="preserve"> </w:t>
      </w:r>
      <w:r>
        <w:t xml:space="preserve">targets are included on the same basis, riluzole being the long-standing approved agent acting on</w:t>
      </w:r>
      <w:r>
        <w:t xml:space="preserve"> </w:t>
      </w:r>
      <w:r>
        <w:t xml:space="preserve">that axis (16).</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(17).</w:t>
      </w:r>
      <w:r>
        <w:t xml:space="preserve"> </w:t>
      </w:r>
      <w:r>
        <w:rPr>
          <w:i/>
          <w:iCs/>
        </w:rPr>
        <w:t xml:space="preserve">Developability</w:t>
      </w:r>
      <w:r>
        <w:t xml:space="preserve"> </w:t>
      </w:r>
      <w:r>
        <w:t xml:space="preserve">is covered by the</w:t>
      </w:r>
      <w:r>
        <w:t xml:space="preserve"> </w:t>
      </w:r>
      <w:r>
        <w:t xml:space="preserve">ADME layer.</w:t>
      </w:r>
    </w:p>
    <w:bookmarkEnd w:id="20"/>
    <w:bookmarkStart w:id="21"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(18),</w:t>
      </w:r>
      <w:r>
        <w:t xml:space="preserve"> </w:t>
      </w:r>
      <w:r>
        <w:t xml:space="preserve">MoleculeNet (19),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21"/>
    <w:bookmarkStart w:id="22"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(20)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(21),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(22), XGBoost (23) and histogram gradient boosting, each</w:t>
      </w:r>
      <w:r>
        <w:t xml:space="preserve"> </w:t>
      </w:r>
      <w:r>
        <w:t xml:space="preserve">class-weighted for the classification endpoints so that no family is compared unweighted against</w:t>
      </w:r>
      <w:r>
        <w:t xml:space="preserve"> </w:t>
      </w:r>
      <w:r>
        <w:t xml:space="preserve">weighted competitors. On the scaffold split the random forest leads classification at 0.9212 mean</w:t>
      </w:r>
      <w:r>
        <w:t xml:space="preserve"> </w:t>
      </w:r>
      <w:r>
        <w:t xml:space="preserve">AUROC, ahead of XGBoost (0.9156), histogram gradient boosting (0.9153), the read-across (0.8829) and</w:t>
      </w:r>
      <w:r>
        <w:t xml:space="preserve"> </w:t>
      </w:r>
      <w:r>
        <w:t xml:space="preserve">logistic regression (0.8352), and it exceeds the read-across on all thirteen endpoints, by margins</w:t>
      </w:r>
      <w:r>
        <w:t xml:space="preserve"> </w:t>
      </w:r>
      <w:r>
        <w:t xml:space="preserve">running from 0.0095 at D2 to 0.1099 on the antioxidant assay. It is best on seven of the eight</w:t>
      </w:r>
      <w:r>
        <w:t xml:space="preserve"> </w:t>
      </w:r>
      <w:r>
        <w:t xml:space="preserve">classification endpoints, losing AChE to histogram gradient boosting at 0.9148 against 0.9247. It</w:t>
      </w:r>
      <w:r>
        <w:t xml:space="preserve"> </w:t>
      </w:r>
      <w:r>
        <w:t xml:space="preserve">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(24). The cost of that uniformity is 0.023 mean R² on</w:t>
      </w:r>
      <w:r>
        <w:t xml:space="preserve"> </w:t>
      </w:r>
      <w:r>
        <w:t xml:space="preserve">the potency regressions and is stated rather than left for a reader to find.</w:t>
      </w:r>
    </w:p>
    <w:bookmarkEnd w:id="22"/>
    <w:bookmarkStart w:id="23" w:name="X6ebadc4fd089f5317e68d5759e76c72c82f11ad"/>
    <w:p>
      <w:pPr>
        <w:pStyle w:val="Heading3"/>
      </w:pPr>
      <w:r>
        <w:t xml:space="preserve">Cross-validation, calibration and uncertainty</w:t>
      </w:r>
    </w:p>
    <w:p>
      <w:pPr>
        <w:pStyle w:val="FirstParagraph"/>
      </w:pPr>
      <w:r>
        <w:t xml:space="preserve">Every endpoint is cross-validated ten-fold, grouped on Bemis-Murcko scaffolds (25) so that</w:t>
      </w:r>
      <w:r>
        <w:t xml:space="preserve"> </w:t>
      </w:r>
      <w:r>
        <w:t xml:space="preserve">entire structural classes are withheld together. The 22 target-potency, exposure and safety</w:t>
      </w:r>
      <w:r>
        <w:t xml:space="preserve"> </w:t>
      </w:r>
      <w:r>
        <w:t xml:space="preserve">estimators are additionally cross-validated under a random split, and the distance between the two</w:t>
      </w:r>
      <w:r>
        <w:t xml:space="preserve"> </w:t>
      </w:r>
      <w:r>
        <w:t xml:space="preserve">regimes is the honest statement of how far a model travels; the 52 binder classifiers, validated</w:t>
      </w:r>
      <w:r>
        <w:t xml:space="preserve"> </w:t>
      </w:r>
      <w:r>
        <w:t xml:space="preserve">instead against compounds measured and found inactive at the same target (Section 3.3), are</w:t>
      </w:r>
      <w:r>
        <w:t xml:space="preserve"> </w:t>
      </w:r>
      <w:r>
        <w:t xml:space="preserve">cross-validated under the scaffold-grouped regime alone. Across the 74 cross-validated estimators,</w:t>
      </w:r>
      <w:r>
        <w:t xml:space="preserve"> </w:t>
      </w:r>
      <w:r>
        <w:t xml:space="preserve">spanning 70 distinct endpoints because four receptors carry both a potency regression and a binder</w:t>
      </w:r>
      <w:r>
        <w:t xml:space="preserve"> </w:t>
      </w:r>
      <w:r>
        <w:t xml:space="preserve">classifier, this is 960 fitted models 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(26)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rather than left implicit: isotonic regression is fitted by five-fold</w:t>
      </w:r>
      <w:r>
        <w:t xml:space="preserve"> </w:t>
      </w:r>
      <w:r>
        <w:rPr>
          <w:rStyle w:val="VerbatimChar"/>
        </w:rPr>
        <w:t xml:space="preserve">cross_val_predict</w:t>
      </w:r>
      <w:r>
        <w:t xml:space="preserve"> </w:t>
      </w:r>
      <w:r>
        <w:t xml:space="preserve">over</w:t>
      </w:r>
      <w:r>
        <w:t xml:space="preserve"> </w:t>
      </w:r>
      <w:r>
        <w:t xml:space="preserve">the pooled out-of-fold prediction vector, and a different, equally defensible nesting is a different</w:t>
      </w:r>
      <w:r>
        <w:t xml:space="preserve"> </w:t>
      </w:r>
      <w:r>
        <w:t xml:space="preserve">estimator with its own honest error, so the protocol is reported alongside the number rather than the</w:t>
      </w:r>
      <w:r>
        <w:t xml:space="preserve"> </w:t>
      </w:r>
      <w:r>
        <w:t xml:space="preserve">number alone. Each prediction additionally carries a Mondrian conformal interval, computed on the</w:t>
      </w:r>
      <w:r>
        <w:t xml:space="preserve"> </w:t>
      </w:r>
      <w:r>
        <w:t xml:space="preserve">same deduplicated matrix the classifiers are trained on, which converts the applicability domain from</w:t>
      </w:r>
      <w:r>
        <w:t xml:space="preserve"> </w:t>
      </w:r>
      <w:r>
        <w:t xml:space="preserve">a caveat into a coverage statement (27): empirical coverage over the eight core classifiers is</w:t>
      </w:r>
      <w:r>
        <w:t xml:space="preserve"> </w:t>
      </w:r>
      <w:r>
        <w:t xml:space="preserve">0.876 to 0.933 against a 0.90 target, with mean set size from 0.956 to 1.215 on a two-class problem</w:t>
      </w:r>
      <w:r>
        <w:t xml:space="preserve"> </w:t>
      </w:r>
      <w:r>
        <w:t xml:space="preserve">where 1.0 is a confident single label. The applicability domain itself is the maximum ECFP-4 Tanimoto</w:t>
      </w:r>
      <w:r>
        <w:t xml:space="preserve"> </w:t>
      </w:r>
      <w:r>
        <w:t xml:space="preserve">similarity of the query to that endpoint’s own measured chemistry (28), reported with the</w:t>
      </w:r>
      <w:r>
        <w:t xml:space="preserve"> </w:t>
      </w:r>
      <w:r>
        <w:t xml:space="preserve">nearest measured analogue and its structure.</w:t>
      </w:r>
    </w:p>
    <w:bookmarkEnd w:id="23"/>
    <w:bookmarkStart w:id="24"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(29) with Tanimoto below 0.35 to any positive. Binder classifiers use</w:t>
      </w:r>
      <w:r>
        <w:t xml:space="preserve"> </w:t>
      </w:r>
      <w:r>
        <w:t xml:space="preserve">sigmoid calibration (30),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44 of 47 deployed</w:t>
      </w:r>
      <w:r>
        <w:t xml:space="preserve"> </w:t>
      </w:r>
      <w:r>
        <w:t xml:space="preserve">endpoints for which a held-out measurement exists, and reaches a maximum of 0.0621, exceeding the</w:t>
      </w:r>
      <w:r>
        <w:t xml:space="preserve"> </w:t>
      </w:r>
      <w:r>
        <w:t xml:space="preserve">0.05 target at four endpoints; under the previous procedure, where the same pool set the threshold</w:t>
      </w:r>
      <w:r>
        <w:t xml:space="preserve"> </w:t>
      </w:r>
      <w:r>
        <w:t xml:space="preserve">and measured the rate, the two could not disagree by construction, so a genuinely disjoint</w:t>
      </w:r>
      <w:r>
        <w:t xml:space="preserve"> </w:t>
      </w:r>
      <w:r>
        <w:t xml:space="preserve">measurement exceeding its target is the expected behaviour of a real constraint rather than evidence</w:t>
      </w:r>
      <w:r>
        <w:t xml:space="preserve"> </w:t>
      </w:r>
      <w:r>
        <w:t xml:space="preserve">against it.</w:t>
      </w:r>
    </w:p>
    <w:bookmarkEnd w:id="24"/>
    <w:bookmarkStart w:id="25"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(31), the Reactome KEAP1-NFE2L2 oxidative</w:t>
      </w:r>
      <w:r>
        <w:t xml:space="preserve"> </w:t>
      </w:r>
      <w:r>
        <w:t xml:space="preserve">stress response (32) and IUPHAR/BPS Guide to Pharmacology associations (33).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(34) and RDKit (35),</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25"/>
    <w:bookmarkEnd w:id="26"/>
    <w:bookmarkStart w:id="33"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27"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(24) on the deployed forests, which is exact for a random forest rather than an</w:t>
      </w:r>
      <w:r>
        <w:t xml:space="preserve"> </w:t>
      </w:r>
      <w:r>
        <w:t xml:space="preserve">approximation, recover known physicochemistry that was never supplied to the models. Over 800 sampled</w:t>
      </w:r>
      <w:r>
        <w:t xml:space="preserve"> </w:t>
      </w:r>
      <w:r>
        <w:t xml:space="preserve">training compounds, larger TPSA, molecular weight and hydrogen-bond donor count all push the barrier</w:t>
      </w:r>
      <w:r>
        <w:t xml:space="preserve"> </w:t>
      </w:r>
      <w:r>
        <w:t xml:space="preserve">model away from penetration (Spearman correlation between feature value and SHAP value of -0.93,</w:t>
      </w:r>
      <w:r>
        <w:t xml:space="preserve"> </w:t>
      </w:r>
      <w:r>
        <w:t xml:space="preserve">-0.94 and -0.94) while drug-likeness pushes towards it (+0.93); for hERG, lipophilicity pushes towards</w:t>
      </w:r>
      <w:r>
        <w:t xml:space="preserve"> </w:t>
      </w:r>
      <w:r>
        <w:t xml:space="preserve">blockade (+0.95).</w:t>
      </w:r>
    </w:p>
    <w:bookmarkEnd w:id="27"/>
    <w:bookmarkStart w:id="28"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 feature-vector-identical rows exist across</w:t>
      </w:r>
      <w:r>
        <w:t xml:space="preserve"> </w:t>
      </w:r>
      <w:r>
        <w:t xml:space="preserve">the panel, worst at BBB (3,773), which is precisely what deduplication removes; none of them reaches</w:t>
      </w:r>
      <w:r>
        <w:t xml:space="preserve"> </w:t>
      </w:r>
      <w:r>
        <w:t xml:space="preserve">a fitted model.</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0.496 (random) and 0.503 (scaffold) over the eight core classifiers, every one of the sixteen values</w:t>
      </w:r>
      <w:r>
        <w:t xml:space="preserve"> </w:t>
      </w:r>
      <w:r>
        <w:t xml:space="preserve">within 0.02 of chance and a smallest margin over its own null 19-fold larger than the largest such</w:t>
      </w:r>
      <w:r>
        <w:t xml:space="preserve"> </w:t>
      </w:r>
      <w:r>
        <w:t xml:space="preserve">departure. Scaffold grouping alone confers nothing: paired by endpoint the scaffold null exceeds the</w:t>
      </w:r>
      <w:r>
        <w:t xml:space="preserve"> </w:t>
      </w:r>
      <w:r>
        <w:t xml:space="preserve">random null by a mean of 0.007 (Wilcoxon p = 0.25) and is negative in three of eight. Whole scaffold</w:t>
      </w:r>
      <w:r>
        <w:t xml:space="preserve"> </w:t>
      </w:r>
      <w:r>
        <w:t xml:space="preserve">classes 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0.767 on the 227 that are also distinguishable from the</w:t>
      </w:r>
      <w:r>
        <w:t xml:space="preserve"> </w:t>
      </w:r>
      <w:r>
        <w:t xml:space="preserve">training set in feature space, which is the subset that supports an external claim (Figure 3C). The</w:t>
      </w:r>
      <w:r>
        <w:t xml:space="preserve"> </w:t>
      </w:r>
      <w:r>
        <w:t xml:space="preserve">79 excluded by that second criterion are feature-identical to a training compound and score 0.749.</w:t>
      </w:r>
      <w:r>
        <w:t xml:space="preserve"> </w:t>
      </w:r>
      <w:r>
        <w:t xml:space="preserve">The two headline figures, 0.764 and 0.767, are close rather than one exceeding the other: excluding</w:t>
      </w:r>
      <w:r>
        <w:t xml:space="preserve"> </w:t>
      </w:r>
      <w:r>
        <w:t xml:space="preserve">memorised compounds neither inflates nor depresses the external estimate, which is the outcome an</w:t>
      </w:r>
      <w:r>
        <w:t xml:space="preserve"> </w:t>
      </w:r>
      <w:r>
        <w:t xml:space="preserve">honest exclusion criterion should produce.</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0.072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925 returned no actionable disease signal, a specificity of</w:t>
      </w:r>
      <w:r>
        <w:t xml:space="preserve"> </w:t>
      </w:r>
      <w:r>
        <w:t xml:space="preserve">0.925 (95% CI 0.907 to 0.940). Of the 75 false positives, 49 fired on a single condition rather than</w:t>
      </w:r>
      <w:r>
        <w:t xml:space="preserve"> </w:t>
      </w:r>
      <w:r>
        <w:t xml:space="preserve">producing a diffuse profile; the median score across all 75 was 0.437,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0.57 for unseen drugs (n = 25,</w:t>
      </w:r>
      <w:r>
        <w:t xml:space="preserve"> </w:t>
      </w:r>
      <w:r>
        <w:t xml:space="preserve">p = 1.8e-03), which is a weak signal and is described as one.</w:t>
      </w:r>
    </w:p>
    <w:p>
      <w:pPr>
        <w:pStyle w:val="BodyText"/>
      </w:pPr>
      <w:r>
        <w:rPr>
          <w:b/>
          <w:bCs/>
        </w:rPr>
        <w:t xml:space="preserve">Attribution.</w:t>
      </w:r>
      <w:r>
        <w:t xml:space="preserve"> </w:t>
      </w:r>
      <w:r>
        <w:t xml:space="preserve">SHAP attributions computed with TreeExplainer (24),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-0.94 and -0.94) while drug-likeness pushes towards it (+0.93); for hERG,</w:t>
      </w:r>
      <w:r>
        <w:t xml:space="preserve"> </w:t>
      </w:r>
      <w:r>
        <w:t xml:space="preserve">lipophilicity pushes towards blockade (+0.95). These directions were not supplied to the models.</w:t>
      </w:r>
    </w:p>
    <w:bookmarkEnd w:id="28"/>
    <w:bookmarkStart w:id="29"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(7), which addresses exposure only, BrainSafe AI</w:t>
      </w:r>
      <w:r>
        <w:t xml:space="preserve"> </w:t>
      </w:r>
      <w:r>
        <w:t xml:space="preserve">adds mechanism and liability but is not a replacement for expert medicinal-chemistry judgement on</w:t>
      </w:r>
      <w:r>
        <w:t xml:space="preserve"> </w:t>
      </w:r>
      <w:r>
        <w:t xml:space="preserve">either axis. Against ADMET and permeability servers such as SwissADME (36), ADMETlab 2.0</w:t>
      </w:r>
      <w:r>
        <w:t xml:space="preserve"> </w:t>
      </w:r>
      <w:r>
        <w:t xml:space="preserve">(37), pkCSM (38) and admetSAR 2.0 (39), and against target-prediction servers</w:t>
      </w:r>
      <w:r>
        <w:t xml:space="preserve"> </w:t>
      </w:r>
      <w:r>
        <w:t xml:space="preserve">such as SwissTargetPrediction (40), the difference is the gating: a target score</w:t>
      </w:r>
      <w:r>
        <w:t xml:space="preserve"> </w:t>
      </w:r>
      <w:r>
        <w:t xml:space="preserve">here is admitted only in proportion to predicted exposure, so a potent binder that does not reach the</w:t>
      </w:r>
      <w:r>
        <w:t xml:space="preserve"> </w:t>
      </w:r>
      <w:r>
        <w:t xml:space="preserve">brain is reported as such rather than as a hit, and no single one of these servers couples exposure,</w:t>
      </w:r>
      <w:r>
        <w:t xml:space="preserve"> </w:t>
      </w:r>
      <w:r>
        <w:t xml:space="preserve">target engagement and disease relevance in one calibrated output. We are not aware of another freely</w:t>
      </w:r>
      <w:r>
        <w:t xml:space="preserve"> </w:t>
      </w:r>
      <w:r>
        <w:t xml:space="preserve">available server that returns exposure-gated, calibrated, mechanism-resolved profiles across this</w:t>
      </w:r>
      <w:r>
        <w:t xml:space="preserve"> </w:t>
      </w:r>
      <w:r>
        <w:t xml:space="preserve">many CNS endpoints with an explicit applicability-domain statement on every value.</w:t>
      </w:r>
    </w:p>
    <w:bookmarkEnd w:id="29"/>
    <w:bookmarkStart w:id="30"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0.92; morphine returns the mu-opioid receptor and chronic pain at 0.97;</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30"/>
    <w:bookmarkStart w:id="31"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0.163.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0.616 and beats chance on seven. Macro-averaged top-3 recall, which averages</w:t>
      </w:r>
      <w:r>
        <w:t xml:space="preserve"> </w:t>
      </w:r>
      <w:r>
        <w:t xml:space="preserve">per indication rather than pooling and so cannot be carried by naming the common conditions, is 0.358</w:t>
      </w:r>
      <w:r>
        <w:t xml:space="preserve"> </w:t>
      </w:r>
      <w:r>
        <w:t xml:space="preserve">against 0.333. The spread is wide and is the substance of the result: depression and anxiety reach</w:t>
      </w:r>
      <w:r>
        <w:t xml:space="preserve"> </w:t>
      </w:r>
      <w:r>
        <w:t xml:space="preserve">0.798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31"/>
    <w:bookmarkStart w:id="32"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32"/>
    <w:bookmarkEnd w:id="33"/>
    <w:bookmarkStart w:id="34"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0.57 for unseen approved drugs (n = 25, one-sided Mann-Whitney</w:t>
      </w:r>
      <w:r>
        <w:t xml:space="preserve"> </w:t>
      </w:r>
      <w:r>
        <w:t xml:space="preserve">p = 1.8e-03),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A related limitation is the size of that effect. On chemistry more than a Tanimoto of 0.40 from</w:t>
      </w:r>
      <w:r>
        <w:t xml:space="preserve"> </w:t>
      </w:r>
      <w:r>
        <w:t xml:space="preserve">anything the panel has measured, recall at the deployed operating point is near 0.16, and no analysis</w:t>
      </w:r>
      <w:r>
        <w:t xml:space="preserve"> </w:t>
      </w:r>
      <w:r>
        <w:t xml:space="preserve">here improves it; what the prospective work establishes is that the figure is predictable, not that</w:t>
      </w:r>
      <w:r>
        <w:t xml:space="preserve"> </w:t>
      </w:r>
      <w:r>
        <w:t xml:space="preserve">it is better than it looked. A negative result on a novel scaffold is close to uninformative, which is</w:t>
      </w:r>
      <w:r>
        <w:t xml:space="preserve"> </w:t>
      </w:r>
      <w:r>
        <w:t xml:space="preserve">why the server now reports the expected recall beside it.</w:t>
      </w:r>
    </w:p>
    <w:p>
      <w:pPr>
        <w:pStyle w:val="BodyText"/>
      </w:pPr>
      <w:r>
        <w:t xml:space="preserve">The specificity estimate also has a boundary worth stating plainly: it rests on compounds presumed</w:t>
      </w:r>
      <w:r>
        <w:t xml:space="preserve"> </w:t>
      </w:r>
      <w:r>
        <w:t xml:space="preserve">inactive because nothing is recorded about them, drawn from within the reference library, so it does</w:t>
      </w:r>
      <w:r>
        <w:t xml:space="preserve"> </w:t>
      </w:r>
      <w:r>
        <w:t xml:space="preserve">not bound behaviour on genuinely distant chemistry.</w:t>
      </w:r>
    </w:p>
    <w:p>
      <w:pPr>
        <w:pStyle w:val="BodyText"/>
      </w:pPr>
      <w:r>
        <w:t xml:space="preserve">Natural-product chemistry is a fourth limit, and it is stated here because a reader will reasonably</w:t>
      </w:r>
      <w:r>
        <w:t xml:space="preserve"> </w:t>
      </w:r>
      <w:r>
        <w:t xml:space="preserve">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(withaferin A) submitted to the server returns a maximum Tanimoto of 0.27 and no</w:t>
      </w:r>
      <w:r>
        <w:t xml:space="preserve"> </w:t>
      </w:r>
      <w:r>
        <w:t xml:space="preserve">engagement call, with no measured compound close enough to serve as an analogue.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0.725, 0.710 and 0.579 for NRF2, NFKB1 and NR3C1, but the fold-to-fold standard deviations are</w:t>
      </w:r>
      <w:r>
        <w:t xml:space="preserve"> </w:t>
      </w:r>
      <w:r>
        <w:t xml:space="preserve">0.134, 0.151 and 0.153, so that signal is not stable, and the three fail the deployment gate in three</w:t>
      </w:r>
      <w:r>
        <w:t xml:space="preserve"> </w:t>
      </w:r>
      <w:r>
        <w:t xml:space="preserve">different ways rather than one. NRF2 discriminates its own held-out measured inactives well (AUROC</w:t>
      </w:r>
      <w:r>
        <w:t xml:space="preserve"> </w:t>
      </w:r>
      <w:r>
        <w:t xml:space="preserve">0.789, sensitivity 0.545) but its false-positive rate on random background chemistry is 0.057, just</w:t>
      </w:r>
      <w:r>
        <w:t xml:space="preserve"> </w:t>
      </w:r>
      <w:r>
        <w:t xml:space="preserve">above the 5 per cent every deployed endpoint is held to, a near miss rather than a wide failure. NFKB1</w:t>
      </w:r>
      <w:r>
        <w:t xml:space="preserve"> </w:t>
      </w:r>
      <w:r>
        <w:t xml:space="preserve">fails outright, calling five trivial metabolites (glucose, urea, acetate, glycine, lactate) binders at</w:t>
      </w:r>
      <w:r>
        <w:t xml:space="preserve"> </w:t>
      </w:r>
      <w:r>
        <w:t xml:space="preserve">its calibrated threshold while recovering no measured active at all (sensitivity 0.000). NR3C1 passes</w:t>
      </w:r>
      <w:r>
        <w:t xml:space="preserve"> </w:t>
      </w:r>
      <w:r>
        <w:t xml:space="preserve">the specificity test, firing on no trivial molecule, and fails on discrimination instead: AUROC 0.410</w:t>
      </w:r>
      <w:r>
        <w:t xml:space="preserve"> </w:t>
      </w:r>
      <w:r>
        <w:t xml:space="preserve">against its own held-out measured inactives is below chance. An endpoint that cannot be given a</w:t>
      </w:r>
      <w:r>
        <w:t xml:space="preserve"> </w:t>
      </w:r>
      <w:r>
        <w:t xml:space="preserve">threshold that finds actives without firing on unrelated chemistry is not usable, whatever its</w:t>
      </w:r>
      <w:r>
        <w:t xml:space="preserve"> </w:t>
      </w:r>
      <w:r>
        <w:t xml:space="preserve">cross-validated AUROC. The cause is visible in what the labels are made of. A binder classifier is</w:t>
      </w:r>
      <w:r>
        <w:t xml:space="preserve"> </w:t>
      </w:r>
      <w:r>
        <w:t xml:space="preserve">fitted to reproduce a direct binding constant, and for two of these three there is essentially none:</w:t>
      </w:r>
      <w:r>
        <w:t xml:space="preserve"> </w:t>
      </w:r>
      <w:r>
        <w:t xml:space="preserve">of the labelled records, Ki or Kd accounts for 0.0 per cent at NRF2, 0.3 per cent at NFKB1 and 14.8</w:t>
      </w:r>
      <w:r>
        <w:t xml:space="preserve"> </w:t>
      </w:r>
      <w:r>
        <w:t xml:space="preserve">per cent at NR3C1, the remainder being almost entirely</w:t>
      </w:r>
      <w:r>
        <w:t xml:space="preserve"> </w:t>
      </w:r>
      <w:r>
        <w:rPr>
          <w:rStyle w:val="VerbatimChar"/>
        </w:rPr>
        <w:t xml:space="preserve">Potency</w:t>
      </w:r>
      <w:r>
        <w:t xml:space="preserve">, a pooled functional readout that</w:t>
      </w:r>
      <w:r>
        <w:t xml:space="preserve"> </w:t>
      </w:r>
      <w:r>
        <w:t xml:space="preserve">mixes assay formats and does not define a binding class a ligand fingerprint can separate. NR3C1, the</w:t>
      </w:r>
      <w:r>
        <w:t xml:space="preserve"> </w:t>
      </w:r>
      <w:r>
        <w:t xml:space="preserve">one with real binding data, is also the one with too few compounds to fit, 140 after deduplication.</w:t>
      </w:r>
      <w:r>
        <w:t xml:space="preserve"> </w:t>
      </w:r>
      <w:r>
        <w:t xml:space="preserve">The gap is therefore not one that adding targets closes. It requires measured binding affinity on</w:t>
      </w:r>
      <w:r>
        <w:t xml:space="preserve"> </w:t>
      </w:r>
      <w:r>
        <w:t xml:space="preserve">sp3-rich scaffolds, which is what does not</w:t>
      </w:r>
      <w:r>
        <w:t xml:space="preserve"> </w:t>
      </w:r>
      <w:r>
        <w:t xml:space="preserve">exist.</w:t>
      </w:r>
    </w:p>
    <w:p>
      <w:pPr>
        <w:pStyle w:val="BodyText"/>
      </w:pPr>
      <w:r>
        <w:t xml:space="preserve">The last limitation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34"/>
    <w:bookmarkStart w:id="35" w:name="data-availability"/>
    <w:p>
      <w:pPr>
        <w:pStyle w:val="Heading2"/>
      </w:pPr>
      <w:r>
        <w:t xml:space="preserve">Data availability</w:t>
      </w:r>
    </w:p>
    <w:p>
      <w:pPr>
        <w:pStyle w:val="FirstParagraph"/>
      </w:pPr>
      <w:r>
        <w:t xml:space="preserve">BrainSafe AI is freely available without registration or login at</w:t>
      </w:r>
      <w:r>
        <w:t xml:space="preserve"> </w:t>
      </w:r>
      <w:r>
        <w:t xml:space="preserve">https://huggingface.co/spaces/Krishnag999/brainsafe-ai, served over HTTPS. No account is created, no</w:t>
      </w:r>
      <w:r>
        <w:t xml:space="preserve"> </w:t>
      </w:r>
      <w:r>
        <w:t xml:space="preserve">submitted structure is written to disk, logged or retained beyond the lifetime of its request, and</w:t>
      </w:r>
      <w:r>
        <w:t xml:space="preserve"> </w:t>
      </w:r>
      <w:r>
        <w:t xml:space="preserve">none is used to train or update any model; the one exception is a compound entered by name, which is</w:t>
      </w:r>
      <w:r>
        <w:t xml:space="preserve"> </w:t>
      </w:r>
      <w:r>
        <w:t xml:space="preserve">resolved to a structure through a single call to PubChem. Curated example compounds are provided so</w:t>
      </w:r>
      <w:r>
        <w:t xml:space="preserve"> </w:t>
      </w:r>
      <w:r>
        <w:t xml:space="preserve">the server can be tried without preparing any input, and the interface’s About page documents every</w:t>
      </w:r>
      <w:r>
        <w:t xml:space="preserve"> </w:t>
      </w:r>
      <w:r>
        <w:t xml:space="preserve">endpoint, every validation figure and the licence terms in place of a separate tutorial.</w:t>
      </w:r>
    </w:p>
    <w:p>
      <w:pPr>
        <w:pStyle w:val="BodyText"/>
      </w:pPr>
      <w:r>
        <w:t xml:space="preserve">All code, the curated knowledge graph, per-fold validation artefacts, the falsification suite and</w:t>
      </w:r>
      <w:r>
        <w:t xml:space="preserve"> </w:t>
      </w:r>
      <w:r>
        <w:t xml:space="preserve">the scripts that regenerate every table and figure are at</w:t>
      </w:r>
      <w:r>
        <w:t xml:space="preserve"> </w:t>
      </w:r>
      <w:r>
        <w:t xml:space="preserve">https://github.com/krishna-g-999/brainsafe-ai under the MIT licence. Underlying data retain the</w:t>
      </w:r>
      <w:r>
        <w:t xml:space="preserve"> </w:t>
      </w:r>
      <w:r>
        <w:t xml:space="preserve">licences of their own sources (ChEMBL, CC BY-SA 3.0; BindingDB; B3DB; Therapeutics Data Commons;</w:t>
      </w:r>
      <w:r>
        <w:t xml:space="preserve"> </w:t>
      </w:r>
      <w:r>
        <w:t xml:space="preserve">MoleculeNet), and the KEGG, Reactome and IUPHAR/BPS pathway annotations are subject to their own</w:t>
      </w:r>
      <w:r>
        <w:t xml:space="preserve"> </w:t>
      </w:r>
      <w:r>
        <w:t xml:space="preserve">terms, KEGG in particular restricting commercial redistribution; a user redistributing this server’s</w:t>
      </w:r>
      <w:r>
        <w:t xml:space="preserve"> </w:t>
      </w:r>
      <w:r>
        <w:t xml:space="preserve">output is responsible for observing them. Trained estimators and the raw API responses are deposited</w:t>
      </w:r>
      <w:r>
        <w:t xml:space="preserve"> </w:t>
      </w:r>
      <w:r>
        <w:t xml:space="preserve">separately, each with a committed manifest recording the SHA-256 of the archive and of every file</w:t>
      </w:r>
      <w:r>
        <w:t xml:space="preserve"> </w:t>
      </w:r>
      <w:r>
        <w:t xml:space="preserve">inside it, so a download is verified rather than trusted.</w:t>
      </w:r>
    </w:p>
    <w:p>
      <w:pPr>
        <w:pStyle w:val="BodyText"/>
      </w:pPr>
      <w:r>
        <w:rPr>
          <w:b/>
          <w:bCs/>
        </w:rPr>
        <w:t xml:space="preserve">[TO BE SUPPLIED BEFORE SUBMISSION]</w:t>
      </w:r>
      <w:r>
        <w:t xml:space="preserve"> </w:t>
      </w:r>
      <w:r>
        <w:t xml:space="preserve">the archive deposit’s own DOI and the funding statement. Every</w:t>
      </w:r>
      <w:r>
        <w:t xml:space="preserve"> </w:t>
      </w:r>
      <w:r>
        <w:t xml:space="preserve">other value in this manuscript, including the author list, the corresponding address and the server</w:t>
      </w:r>
      <w:r>
        <w:t xml:space="preserve"> </w:t>
      </w:r>
      <w:r>
        <w:t xml:space="preserve">and repository URLs above, is stated as it currently stands in the repository and the deployed</w:t>
      </w:r>
      <w:r>
        <w:t xml:space="preserve"> </w:t>
      </w:r>
      <w:r>
        <w:t xml:space="preserve">server rather than left as a placeholder.</w:t>
      </w:r>
    </w:p>
    <w:bookmarkEnd w:id="35"/>
    <w:bookmarkStart w:id="36" w:name="author-contributions"/>
    <w:p>
      <w:pPr>
        <w:pStyle w:val="Heading2"/>
      </w:pPr>
      <w:r>
        <w:t xml:space="preserve">Author contributions</w:t>
      </w:r>
    </w:p>
    <w:p>
      <w:pPr>
        <w:pStyle w:val="FirstParagraph"/>
      </w:pPr>
      <w:r>
        <w:rPr>
          <w:b/>
          <w:bCs/>
        </w:rPr>
        <w:t xml:space="preserve">[TO BE SUPPLIED BEFORE SUBMISSION]</w:t>
      </w:r>
      <w:r>
        <w:t xml:space="preserve"> </w:t>
      </w:r>
      <w:r>
        <w:t xml:space="preserve">NAR requires a CRediT-style contribution statement naming</w:t>
      </w:r>
      <w:r>
        <w:t xml:space="preserve"> </w:t>
      </w:r>
      <w:r>
        <w:t xml:space="preserve">what each author did (e.g. conceptualisation, methodology, software, validation, writing). This</w:t>
      </w:r>
      <w:r>
        <w:t xml:space="preserve"> </w:t>
      </w:r>
      <w:r>
        <w:t xml:space="preserve">cannot be written from the repository the way the rest of this manuscript is, since it is a</w:t>
      </w:r>
      <w:r>
        <w:t xml:space="preserve"> </w:t>
      </w:r>
      <w:r>
        <w:t xml:space="preserve">statement about people rather than about artefacts, and must be supplied by the author team.</w:t>
      </w:r>
    </w:p>
    <w:bookmarkEnd w:id="36"/>
    <w:bookmarkStart w:id="37" w:name="funding"/>
    <w:p>
      <w:pPr>
        <w:pStyle w:val="Heading2"/>
      </w:pPr>
      <w:r>
        <w:t xml:space="preserve">Funding</w:t>
      </w:r>
    </w:p>
    <w:p>
      <w:pPr>
        <w:pStyle w:val="FirstParagraph"/>
      </w:pPr>
      <w:r>
        <w:t xml:space="preserve">[TO BE SUPPLIED]</w:t>
      </w:r>
    </w:p>
    <w:bookmarkEnd w:id="37"/>
    <w:bookmarkStart w:id="3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38"/>
    <w:bookmarkStart w:id="54" w:name="figure-legends"/>
    <w:p>
      <w:pPr>
        <w:pStyle w:val="Heading2"/>
      </w:pPr>
      <w:r>
        <w:t xml:space="preserve">Figure legends</w:t>
      </w:r>
    </w:p>
    <w:p>
      <w:pPr>
        <w:pStyle w:val="CaptionedFigure"/>
      </w:pPr>
      <w:r>
        <w:drawing>
          <wp:inline>
            <wp:extent cx="5727700" cy="4801771"/>
            <wp:effectExtent b="0" l="0" r="0" t="0"/>
            <wp:docPr descr="Figure 1" title="" id="40" name="Picture"/>
            <a:graphic>
              <a:graphicData uri="http://schemas.openxmlformats.org/drawingml/2006/picture">
                <pic:pic>
                  <pic:nvPicPr>
                    <pic:cNvPr descr="figures/Figure1_architecture.png" id="41" name="Picture"/>
                    <pic:cNvPicPr>
                      <a:picLocks noChangeArrowheads="1" noChangeAspect="1"/>
                    </pic:cNvPicPr>
                  </pic:nvPicPr>
                  <pic:blipFill>
                    <a:blip r:embed="rId39"/>
                    <a:stretch>
                      <a:fillRect/>
                    </a:stretch>
                  </pic:blipFill>
                  <pic:spPr bwMode="auto">
                    <a:xfrm>
                      <a:off x="0" y="0"/>
                      <a:ext cx="5727700" cy="480177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as MODEL_INVENTORY.csv defines</w:t>
      </w:r>
      <w:r>
        <w:t xml:space="preserve"> </w:t>
      </w:r>
      <w:r>
        <w:t xml:space="preserve">them: the 52-endpoint binder panel of which 47 are deployed, twelve target potency and activity</w:t>
      </w:r>
      <w:r>
        <w:t xml:space="preserve"> </w:t>
      </w:r>
      <w:r>
        <w:t xml:space="preserve">endpoints, the ten-endpoint exposure and ADME layer including the barrier model itself, and the</w:t>
      </w:r>
      <w:r>
        <w:t xml:space="preserve"> </w:t>
      </w:r>
      <w:r>
        <w:t xml:space="preserve">single hERG safety classifier. Every target score is admitted only in proportion to the predicted</w:t>
      </w:r>
      <w:r>
        <w:t xml:space="preserve"> </w:t>
      </w:r>
      <w:r>
        <w:t xml:space="preserve">probability that the compound reaches the brain, and surviving scores are ranked by enrichment over</w:t>
      </w:r>
      <w:r>
        <w:t xml:space="preserve"> </w:t>
      </w:r>
      <w:r>
        <w:t xml:space="preserve">each endpoint’s base rate rather than by raw probability. Every reported value carries a calibrated</w:t>
      </w:r>
      <w:r>
        <w:t xml:space="preserve"> </w:t>
      </w:r>
      <w:r>
        <w:t xml:space="preserve">probability and an applicability-domain distance, and the eight core classifiers additionally report</w:t>
      </w:r>
      <w:r>
        <w:t xml:space="preserve"> </w:t>
      </w:r>
      <w:r>
        <w:t xml:space="preserve">a conformal interval.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727700" cy="4397607"/>
            <wp:effectExtent b="0" l="0" r="0" t="0"/>
            <wp:docPr descr="Figure 2" title="" id="43" name="Picture"/>
            <a:graphic>
              <a:graphicData uri="http://schemas.openxmlformats.org/drawingml/2006/picture">
                <pic:pic>
                  <pic:nvPicPr>
                    <pic:cNvPr descr="figures/Figure9_model_atlas.png" id="44" name="Picture"/>
                    <pic:cNvPicPr>
                      <a:picLocks noChangeArrowheads="1" noChangeAspect="1"/>
                    </pic:cNvPicPr>
                  </pic:nvPicPr>
                  <pic:blipFill>
                    <a:blip r:embed="rId42"/>
                    <a:stretch>
                      <a:fillRect/>
                    </a:stretch>
                  </pic:blipFill>
                  <pic:spPr bwMode="auto">
                    <a:xfrm>
                      <a:off x="0" y="0"/>
                      <a:ext cx="5727700" cy="439760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37 to</w:t>
      </w:r>
      <w:r>
        <w:t xml:space="preserve"> </w:t>
      </w:r>
      <w:r>
        <w:t xml:space="preserve">15,831 rows; binder training sets include property-matched decoys while the others are measured</w:t>
      </w:r>
      <w:r>
        <w:t xml:space="preserve"> </w:t>
      </w:r>
      <w:r>
        <w:t xml:space="preserve">compounds only, 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0.945 while</w:t>
      </w:r>
      <w:r>
        <w:t xml:space="preserve"> </w:t>
      </w:r>
      <w:r>
        <w:t xml:space="preserve">the exposure and ADME family, which mixes AUROC and R² endpoints, has a median of 0.574,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727700" cy="3599115"/>
            <wp:effectExtent b="0" l="0" r="0" t="0"/>
            <wp:docPr descr="Figure 3" title="" id="46" name="Picture"/>
            <a:graphic>
              <a:graphicData uri="http://schemas.openxmlformats.org/drawingml/2006/picture">
                <pic:pic>
                  <pic:nvPicPr>
                    <pic:cNvPr descr="figures/Figure6_validation.png" id="47" name="Picture"/>
                    <pic:cNvPicPr>
                      <a:picLocks noChangeArrowheads="1" noChangeAspect="1"/>
                    </pic:cNvPicPr>
                  </pic:nvPicPr>
                  <pic:blipFill>
                    <a:blip r:embed="rId45"/>
                    <a:stretch>
                      <a:fillRect/>
                    </a:stretch>
                  </pic:blipFill>
                  <pic:spPr bwMode="auto">
                    <a:xfrm>
                      <a:off x="0" y="0"/>
                      <a:ext cx="5727700" cy="3599115"/>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(41)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the</w:t>
      </w:r>
      <w:r>
        <w:t xml:space="preserve"> </w:t>
      </w:r>
      <w:r>
        <w:t xml:space="preserve">applicability-domain flag, only after its controls were corrected rather than its criterion retuned;</w:t>
      </w:r>
      <w:r>
        <w:t xml:space="preserve"> </w:t>
      </w:r>
      <w:r>
        <w:t xml:space="preserve">every check is drawn at the same size whatever its verdict, so a future failure would be exactly this</w:t>
      </w:r>
      <w:r>
        <w:t xml:space="preserve"> </w:t>
      </w:r>
      <w:r>
        <w:t xml:space="preserve">visible.</w:t>
      </w:r>
    </w:p>
    <w:p>
      <w:pPr>
        <w:pStyle w:val="CaptionedFigure"/>
      </w:pPr>
      <w:r>
        <w:drawing>
          <wp:inline>
            <wp:extent cx="5727700" cy="2991917"/>
            <wp:effectExtent b="0" l="0" r="0" t="0"/>
            <wp:docPr descr="Figure 4" title="" id="49" name="Picture"/>
            <a:graphic>
              <a:graphicData uri="http://schemas.openxmlformats.org/drawingml/2006/picture">
                <pic:pic>
                  <pic:nvPicPr>
                    <pic:cNvPr descr="figures/Figure8_use_case.png" id="50" name="Picture"/>
                    <pic:cNvPicPr>
                      <a:picLocks noChangeArrowheads="1" noChangeAspect="1"/>
                    </pic:cNvPicPr>
                  </pic:nvPicPr>
                  <pic:blipFill>
                    <a:blip r:embed="rId48"/>
                    <a:stretch>
                      <a:fillRect/>
                    </a:stretch>
                  </pic:blipFill>
                  <pic:spPr bwMode="auto">
                    <a:xfrm>
                      <a:off x="0" y="0"/>
                      <a:ext cx="5727700" cy="299191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727700" cy="5110994"/>
            <wp:effectExtent b="0" l="0" r="0" t="0"/>
            <wp:docPr descr="Figure 5" title="" id="52" name="Picture"/>
            <a:graphic>
              <a:graphicData uri="http://schemas.openxmlformats.org/drawingml/2006/picture">
                <pic:pic>
                  <pic:nvPicPr>
                    <pic:cNvPr descr="figures/Figure11_external_validation.png" id="53" name="Picture"/>
                    <pic:cNvPicPr>
                      <a:picLocks noChangeArrowheads="1" noChangeAspect="1"/>
                    </pic:cNvPicPr>
                  </pic:nvPicPr>
                  <pic:blipFill>
                    <a:blip r:embed="rId51"/>
                    <a:stretch>
                      <a:fillRect/>
                    </a:stretch>
                  </pic:blipFill>
                  <pic:spPr bwMode="auto">
                    <a:xfrm>
                      <a:off x="0" y="0"/>
                      <a:ext cx="5727700" cy="511099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54"/>
    <w:bookmarkStart w:id="5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 A PubMed Central or PubMed abstract link is given where NCBI indexes the work (</w:t>
      </w:r>
      <w:r>
        <w:rPr>
          <w:rStyle w:val="VerbatimChar"/>
        </w:rPr>
        <w:t xml:space="preserve">manuscript/references_links.json</w:t>
      </w:r>
      <w:r>
        <w:t xml:space="preserve">); neither exists for a work outside PubMed’s coverage, which is expected for some conference proceedings and for the software citations.</w:t>
      </w:r>
    </w:p>
    <w:p>
      <w:pPr>
        <w:pStyle w:val="Compact"/>
        <w:numPr>
          <w:ilvl w:val="0"/>
          <w:numId w:val="1002"/>
        </w:numPr>
      </w:pPr>
      <w:r>
        <w:t xml:space="preserve">Zdrazil B, Felix E, Hunter F et al. The ChEMBL Database in 2023: a drug discovery platform spanning multiple bioactivity data types and time periods. Nucleic Acids Research. 2024. doi:10.1093/nar/gkad1004. https://pmc.ncbi.nlm.nih.gov/articles/PMC10767899/ https://pubmed.ncbi.nlm.nih.gov/37933841/</w:t>
      </w:r>
    </w:p>
    <w:p>
      <w:pPr>
        <w:pStyle w:val="Compact"/>
        <w:numPr>
          <w:ilvl w:val="0"/>
          <w:numId w:val="1002"/>
        </w:numPr>
      </w:pPr>
      <w:r>
        <w:t xml:space="preserve">Gilson M, Liu T, Baitaluk M et al. BindingDB in 2015: A public database for medicinal chemistry, computational chemistry and systems pharmacology. Nucleic Acids Research. 2016. doi:10.1093/nar/gkv1072. https://pmc.ncbi.nlm.nih.gov/articles/PMC4702793/ https://pubmed.ncbi.nlm.nih.gov/26481362/</w:t>
      </w:r>
    </w:p>
    <w:p>
      <w:pPr>
        <w:pStyle w:val="Compact"/>
        <w:numPr>
          <w:ilvl w:val="0"/>
          <w:numId w:val="1002"/>
        </w:numPr>
      </w:pPr>
      <w:r>
        <w:t xml:space="preserve">Meng F, Xi Y, Huang J et al. A curated diverse molecular database of blood-brain barrier permeability with chemical descriptors. Scientific Data. 2021. doi:10.1038/s41597-021-01069-5. https://pmc.ncbi.nlm.nih.gov/articles/PMC8556334/ https://pubmed.ncbi.nlm.nih.gov/34716354/</w:t>
      </w:r>
    </w:p>
    <w:p>
      <w:pPr>
        <w:pStyle w:val="Compact"/>
        <w:numPr>
          <w:ilvl w:val="0"/>
          <w:numId w:val="1002"/>
        </w:numPr>
      </w:pPr>
      <w:r>
        <w:t xml:space="preserve">Pangalos M, Schechter L, Hurko O. Drug development for CNS disorders: strategies for balancing risk and reducing attrition. Nature Reviews Drug Discovery. 2007. doi:10.1038/nrd2094.</w:t>
      </w:r>
    </w:p>
    <w:p>
      <w:pPr>
        <w:pStyle w:val="Compact"/>
        <w:numPr>
          <w:ilvl w:val="0"/>
          <w:numId w:val="1002"/>
        </w:numPr>
      </w:pPr>
      <w:r>
        <w:t xml:space="preserve">Alavijeh M, Chishty M, Qaiser M et al. Drug metabolism and pharmacokinetics, the blood-brain barrier, and central nervous system drug discovery. NeuroRX. 2005. doi:10.1602/neurorx.2.4.554. https://pmc.ncbi.nlm.nih.gov/articles/PMC1201315/ https://pubmed.ncbi.nlm.nih.gov/16489365/</w:t>
      </w:r>
    </w:p>
    <w:p>
      <w:pPr>
        <w:pStyle w:val="Compact"/>
        <w:numPr>
          <w:ilvl w:val="0"/>
          <w:numId w:val="1002"/>
        </w:numPr>
      </w:pPr>
      <w:r>
        <w:t xml:space="preserve">Loryan I, Reichel A, Feng B et al. Unbound Brain-to-Plasma Partition Coefficient, Kp,uu,brain—a Game Changing Parameter for CNS Drug Discovery and Development. Pharmaceutical Research. 2022. doi:10.1007/s11095-022-03246-6. https://pmc.ncbi.nlm.nih.gov/articles/PMC9246790/ https://pubmed.ncbi.nlm.nih.gov/35411506/</w:t>
      </w:r>
    </w:p>
    <w:p>
      <w:pPr>
        <w:pStyle w:val="Compact"/>
        <w:numPr>
          <w:ilvl w:val="0"/>
          <w:numId w:val="1002"/>
        </w:numPr>
      </w:pPr>
      <w:r>
        <w:t xml:space="preserve">Wager T, Hou X, Verhoest P et al. Moving beyond Rules: The Development of a Central Nervous System Multiparameter Optimization (CNS MPO) Approach To Enable Alignment of Druglike Properties. ACS Chemical Neuroscience. 2010. doi:10.1021/cn100008c. https://pmc.ncbi.nlm.nih.gov/articles/PMC3368654/ https://pubmed.ncbi.nlm.nih.gov/22778837/</w:t>
      </w:r>
    </w:p>
    <w:p>
      <w:pPr>
        <w:pStyle w:val="Compact"/>
        <w:numPr>
          <w:ilvl w:val="0"/>
          <w:numId w:val="1002"/>
        </w:numPr>
      </w:pPr>
      <w:r>
        <w:t xml:space="preserve">Saify Z, Sultana N. Role of Acetylcholinesterase Inhibitors and Alzheimer Disease. Drug Design and Discovery in Alzheimer’s Disease. 2014. doi:10.1016/b978-0-12-803959-5.50007-6.</w:t>
      </w:r>
    </w:p>
    <w:p>
      <w:pPr>
        <w:pStyle w:val="Compact"/>
        <w:numPr>
          <w:ilvl w:val="0"/>
          <w:numId w:val="1002"/>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2"/>
        </w:numPr>
      </w:pPr>
      <w:r>
        <w:t xml:space="preserve">Dezsi L, Vecsei L. Monoamine Oxidase B Inhibitors in Parkinson’s Disease. CNS &amp; neurological disorders drug targets. 2017. doi:10.2174/1871527316666170124165222. https://pubmed.ncbi.nlm.nih.gov/28124620/</w:t>
      </w:r>
    </w:p>
    <w:p>
      <w:pPr>
        <w:pStyle w:val="Compact"/>
        <w:numPr>
          <w:ilvl w:val="0"/>
          <w:numId w:val="1002"/>
        </w:numPr>
      </w:pPr>
      <w:r>
        <w:t xml:space="preserve">West A. Achieving neuroprotection with LRRK2 kinase inhibitors in Parkinson disease. Experimental Neurology. 2017. doi:10.1016/j.expneurol.2017.07.019. https://pmc.ncbi.nlm.nih.gov/articles/PMC5693612/ https://pubmed.ncbi.nlm.nih.gov/28764903/</w:t>
      </w:r>
    </w:p>
    <w:p>
      <w:pPr>
        <w:pStyle w:val="Compact"/>
        <w:numPr>
          <w:ilvl w:val="0"/>
          <w:numId w:val="1002"/>
        </w:numPr>
      </w:pPr>
      <w:r>
        <w:t xml:space="preserve">Riemann D, Spiegelhalder K. Orexin receptor antagonists: a new treatment for insomnia?. The Lancet Neurology. 2014. doi:10.1016/s1474-4422(13)70311-9. https://pubmed.ncbi.nlm.nih.gov/24680373/</w:t>
      </w:r>
    </w:p>
    <w:p>
      <w:pPr>
        <w:pStyle w:val="Compact"/>
        <w:numPr>
          <w:ilvl w:val="0"/>
          <w:numId w:val="1002"/>
        </w:numPr>
      </w:pPr>
      <w:r>
        <w:t xml:space="preserve">Duan Y, Kelley N, He Y. Role of the NLRP3 inflammasome in neurodegenerative diseases and therapeutic implications. Neural Regeneration Research. 2020. doi:10.4103/1673-5374.272576. https://pmc.ncbi.nlm.nih.gov/articles/PMC7047811/ https://pubmed.ncbi.nlm.nih.gov/31960806/</w:t>
      </w:r>
    </w:p>
    <w:p>
      <w:pPr>
        <w:pStyle w:val="Compact"/>
        <w:numPr>
          <w:ilvl w:val="0"/>
          <w:numId w:val="1002"/>
        </w:numPr>
      </w:pPr>
      <w:r>
        <w:t xml:space="preserve">Yamazaki H, Tanji K, Wakabayashi K, Matsuura S, Itoh K. Role of the Keap1/Nrf2 pathway in neurodegenerative diseases. Pathology international. 2015. doi:10.1111/pin.12261. https://pubmed.ncbi.nlm.nih.gov/25707882/</w:t>
      </w:r>
    </w:p>
    <w:p>
      <w:pPr>
        <w:pStyle w:val="Compact"/>
        <w:numPr>
          <w:ilvl w:val="0"/>
          <w:numId w:val="1002"/>
        </w:numPr>
      </w:pPr>
      <w:r>
        <w:t xml:space="preserve">Kovalenko M, Erdin S, Andrew M et al. Histone deacetylase knockouts modify transcription, CAG instability and nuclear pathology in Huntington disease mice. eLife. 2020. doi:10.7554/elife.55911. https://pmc.ncbi.nlm.nih.gov/articles/PMC7581428/ https://pubmed.ncbi.nlm.nih.gov/32990597/</w:t>
      </w:r>
    </w:p>
    <w:p>
      <w:pPr>
        <w:pStyle w:val="Compact"/>
        <w:numPr>
          <w:ilvl w:val="0"/>
          <w:numId w:val="1002"/>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2"/>
        </w:numPr>
      </w:pPr>
      <w:r>
        <w:t xml:space="preserve">Ritter J. Cardiac safety, drug‐induced QT prolongation and torsade de pointes (TdP). British Journal of Clinical Pharmacology. 2012. doi:10.1111/j.1365-2125.2012.04193.x. https://pmc.ncbi.nlm.nih.gov/articles/PMC3370337/ https://pubmed.ncbi.nlm.nih.gov/22329611/</w:t>
      </w:r>
    </w:p>
    <w:p>
      <w:pPr>
        <w:pStyle w:val="Compact"/>
        <w:numPr>
          <w:ilvl w:val="0"/>
          <w:numId w:val="1002"/>
        </w:numPr>
      </w:pPr>
      <w:r>
        <w:t xml:space="preserve">Huang K, Fu T, Gao W, Zhao Y, Roohani Y, Leskovec J, Coley CW, Xiao C, Sun J, Zitnik M. Artificial intelligence foundation for therapeutic science. Nature chemical biology. 2022. doi:10.1038/s41589-022-01131-2. https://pmc.ncbi.nlm.nih.gov/articles/PMC9529840/ https://pubmed.ncbi.nlm.nih.gov/36131149/</w:t>
      </w:r>
    </w:p>
    <w:p>
      <w:pPr>
        <w:pStyle w:val="Compact"/>
        <w:numPr>
          <w:ilvl w:val="0"/>
          <w:numId w:val="1002"/>
        </w:numPr>
      </w:pPr>
      <w:r>
        <w:t xml:space="preserve">Wu Z, Ramsundar B, Feinberg E et al. MoleculeNet: a benchmark for molecular machine learning. Chemical Science. 2018. doi:10.1039/c7sc02664a. https://pmc.ncbi.nlm.nih.gov/articles/PMC5868307/ https://pubmed.ncbi.nlm.nih.gov/29629118/</w:t>
      </w:r>
    </w:p>
    <w:p>
      <w:pPr>
        <w:pStyle w:val="Compact"/>
        <w:numPr>
          <w:ilvl w:val="0"/>
          <w:numId w:val="1002"/>
        </w:numPr>
      </w:pPr>
      <w:r>
        <w:t xml:space="preserve">Rogers D, Hahn M. Extended-Connectivity Fingerprints. Journal of Chemical Information and Modeling. 2010. doi:10.1021/ci100050t. https://pubmed.ncbi.nlm.nih.gov/20426451/</w:t>
      </w:r>
    </w:p>
    <w:p>
      <w:pPr>
        <w:pStyle w:val="Compact"/>
        <w:numPr>
          <w:ilvl w:val="0"/>
          <w:numId w:val="1002"/>
        </w:numPr>
      </w:pPr>
      <w:r>
        <w:t xml:space="preserve">Pedregosa F, Varoquaux G, Gramfort A et al. Scikit-learn: Machine Learning in Python. Journal of Machine Learning Research. 2011;12:2825-2830. https://www.jmlr.org/papers/v12/pedregosa11a.html</w:t>
      </w:r>
    </w:p>
    <w:p>
      <w:pPr>
        <w:pStyle w:val="Compact"/>
        <w:numPr>
          <w:ilvl w:val="0"/>
          <w:numId w:val="1002"/>
        </w:numPr>
      </w:pPr>
      <w:r>
        <w:t xml:space="preserve">Breiman L. Random Forests. Machine Learning. 2001. doi:10.1023/a:1010933404324.</w:t>
      </w:r>
    </w:p>
    <w:p>
      <w:pPr>
        <w:pStyle w:val="Compact"/>
        <w:numPr>
          <w:ilvl w:val="0"/>
          <w:numId w:val="1002"/>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2"/>
        </w:numPr>
      </w:pPr>
      <w:r>
        <w:t xml:space="preserve">Lundberg S, Erion G, Chen H et al. From local explanations to global understanding with explainable AI for trees. Nature Machine Intelligence. 2020. doi:10.1038/s42256-019-0138-9. https://pmc.ncbi.nlm.nih.gov/articles/PMC7326367/ https://pubmed.ncbi.nlm.nih.gov/32607472/</w:t>
      </w:r>
    </w:p>
    <w:p>
      <w:pPr>
        <w:pStyle w:val="Compact"/>
        <w:numPr>
          <w:ilvl w:val="0"/>
          <w:numId w:val="1002"/>
        </w:numPr>
      </w:pPr>
      <w:r>
        <w:t xml:space="preserve">Bemis G, Murcko M. The Properties of Known Drugs. 1. Molecular Frameworks. Journal of Medicinal Chemistry. 1996. doi:10.1021/jm9602928. https://pubmed.ncbi.nlm.nih.gov/8709122/</w:t>
      </w:r>
    </w:p>
    <w:p>
      <w:pPr>
        <w:pStyle w:val="Compact"/>
        <w:numPr>
          <w:ilvl w:val="0"/>
          <w:numId w:val="1002"/>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2"/>
        </w:numPr>
      </w:pPr>
      <w:r>
        <w:t xml:space="preserve">Norinder U, Carlsson L, Boyer S et al. Introducing Conformal Prediction in Predictive Modeling. A Transparent and Flexible Alternative to Applicability Domain Determination. Journal of Chemical Information and Modeling. 2014. doi:10.1021/ci5001168. https://pubmed.ncbi.nlm.nih.gov/24797111/</w:t>
      </w:r>
    </w:p>
    <w:p>
      <w:pPr>
        <w:pStyle w:val="Compact"/>
        <w:numPr>
          <w:ilvl w:val="0"/>
          <w:numId w:val="1002"/>
        </w:numPr>
      </w:pPr>
      <w:r>
        <w:t xml:space="preserve">Jaworska J, Nikolova-Jeliazkova N, Aldenberg T. QSAR Applicability Domain Estimation by Projection of the Training Set in Descriptor Space: A Review. Alternatives to Laboratory Animals. 2005. doi:10.1177/026119290503300508. https://pubmed.ncbi.nlm.nih.gov/16268757/</w:t>
      </w:r>
    </w:p>
    <w:p>
      <w:pPr>
        <w:pStyle w:val="Compact"/>
        <w:numPr>
          <w:ilvl w:val="0"/>
          <w:numId w:val="1002"/>
        </w:numPr>
      </w:pPr>
      <w:r>
        <w:t xml:space="preserve">Mysinger M, Carchia M, Irwin J et al. Directory of Useful Decoys, Enhanced (DUD-E): Better Ligands and Decoys for Better Benchmarking. Journal of Medicinal Chemistry. 2012. doi:10.1021/jm300687e. https://pmc.ncbi.nlm.nih.gov/articles/PMC3405771/ https://pubmed.ncbi.nlm.nih.gov/22716043/</w:t>
      </w:r>
    </w:p>
    <w:p>
      <w:pPr>
        <w:pStyle w:val="Compact"/>
        <w:numPr>
          <w:ilvl w:val="0"/>
          <w:numId w:val="1002"/>
        </w:numPr>
      </w:pPr>
      <w:r>
        <w:t xml:space="preserve">Lin H, Lin C, Weng R. A note on Platt’s probabilistic outputs for support vector machines. Machine Learning. 2007. doi:10.1007/s10994-007-5018-6.</w:t>
      </w:r>
    </w:p>
    <w:p>
      <w:pPr>
        <w:pStyle w:val="Compact"/>
        <w:numPr>
          <w:ilvl w:val="0"/>
          <w:numId w:val="1002"/>
        </w:numPr>
      </w:pPr>
      <w:r>
        <w:t xml:space="preserve">Kanehisa M, Goto S. KEGG: kyoto encyclopedia of genes and genomes. Nucleic acids research. 2000. doi:10.1093/nar/28.1.27. https://pmc.ncbi.nlm.nih.gov/articles/PMC102409/ https://pubmed.ncbi.nlm.nih.gov/10592173/</w:t>
      </w:r>
    </w:p>
    <w:p>
      <w:pPr>
        <w:pStyle w:val="Compact"/>
        <w:numPr>
          <w:ilvl w:val="0"/>
          <w:numId w:val="1002"/>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 https://pmc.ncbi.nlm.nih.gov/articles/PMC10767911/ https://pubmed.ncbi.nlm.nih.gov/37941124/</w:t>
      </w:r>
    </w:p>
    <w:p>
      <w:pPr>
        <w:pStyle w:val="Compact"/>
        <w:numPr>
          <w:ilvl w:val="0"/>
          <w:numId w:val="1002"/>
        </w:numPr>
      </w:pPr>
      <w:r>
        <w:t xml:space="preserve">Harding SD, Armstrong JF, Faccenda E, Southan C, Alexander SPH, Davenport AP, Spedding M, Davies JA. The IUPHAR/BPS Guide to PHARMACOLOGY in 2024. Nucleic acids research. 2024. doi:10.1093/nar/gkad944. https://pmc.ncbi.nlm.nih.gov/articles/PMC10767925/ https://pubmed.ncbi.nlm.nih.gov/37897341/</w:t>
      </w:r>
    </w:p>
    <w:p>
      <w:pPr>
        <w:pStyle w:val="Compact"/>
        <w:numPr>
          <w:ilvl w:val="0"/>
          <w:numId w:val="1002"/>
        </w:numPr>
      </w:pPr>
      <w:r>
        <w:t xml:space="preserve">Streamlit: an open-source app framework. https://streamlit.io</w:t>
      </w:r>
    </w:p>
    <w:p>
      <w:pPr>
        <w:pStyle w:val="Compact"/>
        <w:numPr>
          <w:ilvl w:val="0"/>
          <w:numId w:val="1002"/>
        </w:numPr>
      </w:pPr>
      <w:r>
        <w:t xml:space="preserve">RDKit: Open-source cheminformatics. https://www.rdkit.org</w:t>
      </w:r>
    </w:p>
    <w:p>
      <w:pPr>
        <w:pStyle w:val="Compact"/>
        <w:numPr>
          <w:ilvl w:val="0"/>
          <w:numId w:val="1002"/>
        </w:numPr>
      </w:pPr>
      <w:r>
        <w:t xml:space="preserve">Daina A, Michielin O, Zoete V. SwissADME: a free web tool to evaluate pharmacokinetics, drug-likeness and medicinal chemistry friendliness of small molecules. Scientific Reports. 2017. doi:10.1038/srep42717.</w:t>
      </w:r>
    </w:p>
    <w:p>
      <w:pPr>
        <w:pStyle w:val="Compact"/>
        <w:numPr>
          <w:ilvl w:val="0"/>
          <w:numId w:val="1002"/>
        </w:numPr>
      </w:pPr>
      <w:r>
        <w:t xml:space="preserve">Xiong G, Wu Z, Yi J et al. ADMETlab 2.0: an integrated online platform for accurate and comprehensive predictions of ADMET properties. Nucleic Acids Research. 2021. doi:10.1093/nar/gkab255.</w:t>
      </w:r>
    </w:p>
    <w:p>
      <w:pPr>
        <w:pStyle w:val="Compact"/>
        <w:numPr>
          <w:ilvl w:val="0"/>
          <w:numId w:val="1002"/>
        </w:numPr>
      </w:pPr>
      <w:r>
        <w:t xml:space="preserve">Pires DEV, Blundell TL, Ascher DB. pkCSM: Predicting Small-Molecule Pharmacokinetic and Toxicity Properties Using Graph-Based Signatures. Journal of Medicinal Chemistry. 2015. doi:10.1021/acs.jmedchem.5b00104.</w:t>
      </w:r>
    </w:p>
    <w:p>
      <w:pPr>
        <w:pStyle w:val="Compact"/>
        <w:numPr>
          <w:ilvl w:val="0"/>
          <w:numId w:val="1002"/>
        </w:numPr>
      </w:pPr>
      <w:r>
        <w:t xml:space="preserve">Yang H, Lou C, Sun L et al. admetSAR 2.0: web-service for prediction and optimization of chemical ADMET properties. Bioinformatics. 2019. doi:10.1093/bioinformatics/bty707.</w:t>
      </w:r>
    </w:p>
    <w:p>
      <w:pPr>
        <w:pStyle w:val="Compact"/>
        <w:numPr>
          <w:ilvl w:val="0"/>
          <w:numId w:val="1002"/>
        </w:numPr>
      </w:pPr>
      <w:r>
        <w:t xml:space="preserve">Daina A, Michielin O, Zoete V. SwissTargetPrediction: updated data and new features for efficient prediction of protein targets of small molecules. Nucleic Acids Research. 2019. doi:10.1093/nar/gkz382.</w:t>
      </w:r>
    </w:p>
    <w:p>
      <w:pPr>
        <w:pStyle w:val="Compact"/>
        <w:numPr>
          <w:ilvl w:val="0"/>
          <w:numId w:val="1002"/>
        </w:numPr>
      </w:pPr>
      <w:r>
        <w:t xml:space="preserve">Wilson E. Probable Inference, the Law of Succession, and Statistical Inference. Journal of the American Statistical Association. 1927. doi:10.1080/01621459.1927.10502953.</w:t>
      </w:r>
    </w:p>
    <w:bookmarkEnd w:id="55"/>
    <w:bookmarkEnd w:id="56"/>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2026-09-16T05:23:56Z</dcterms:created>
  <dcterms:modified xsi:type="dcterms:W3CDTF">2026-09-16T05:23:56Z</dcterms:modified>
</cp:coreProperties>
</file>

<file path=docProps/custom.xml><?xml version="1.0" encoding="utf-8"?>
<Properties xmlns="http://schemas.openxmlformats.org/officeDocument/2006/custom-properties" xmlns:vt="http://schemas.openxmlformats.org/officeDocument/2006/docPropsVTypes"/>
</file>