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28.png" ContentType="image/png"/>
  <Override PartName="/word/media/rId34.png" ContentType="image/png"/>
  <Override PartName="/word/media/rId3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scaffold-grouped cross-validated and carry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18" w:name="abstract"/>
    <w:p>
      <w:pPr>
        <w:pStyle w:val="Heading2"/>
      </w:pPr>
      <w:r>
        <w:t xml:space="preserve">Abstract</w:t>
      </w:r>
    </w:p>
    <w:p>
      <w:pPr>
        <w:pStyle w:val="FirstParagraph"/>
      </w:pPr>
      <w:r>
        <w:t xml:space="preserve">BrainSafe AI predicts, from structure alone, how a small molecule may act on the human brain. For a</w:t>
      </w:r>
      <w:r>
        <w:t xml:space="preserve"> </w:t>
      </w:r>
      <w:r>
        <w:t xml:space="preserve">submitted SMILES string or compound name it returns engagement of 54 molecular targets spanning the</w:t>
      </w:r>
      <w:r>
        <w:t xml:space="preserve"> </w:t>
      </w:r>
      <w:r>
        <w:t xml:space="preserve">principal neurodegenerative, psychiatric, neuroinflammatory, analgesic and sleep-related mechanisms,</w:t>
      </w:r>
      <w:r>
        <w:t xml:space="preserve"> </w:t>
      </w:r>
      <w:r>
        <w:t xml:space="preserve">predicted blood-brain barrier penetration, nine ADME and exposure endpoints including a directly</w:t>
      </w:r>
      <w:r>
        <w:t xml:space="preserve"> </w:t>
      </w:r>
      <w:r>
        <w:t xml:space="preserve">modelled unbound brain-to-plasma ratio, and two cardiac safety liabilities. Every target score is</w:t>
      </w:r>
      <w:r>
        <w:t xml:space="preserve"> </w:t>
      </w:r>
      <w:r>
        <w:t xml:space="preserve">admitted only in proportion to predicted brain exposure, so potency at a target a compound cannot</w:t>
      </w:r>
      <w:r>
        <w:t xml:space="preserve"> </w:t>
      </w:r>
      <w:r>
        <w:t xml:space="preserve">reach contributes nothing, and engaged targets are traced through a curated pathway graph to the</w:t>
      </w:r>
      <w:r>
        <w:t xml:space="preserve"> </w:t>
      </w:r>
      <w:r>
        <w:t xml:space="preserve">conditions those mechanisms touch. The server is built on 75 estimators, 70 deployed, trained on</w:t>
      </w:r>
      <w:r>
        <w:t xml:space="preserve"> </w:t>
      </w:r>
      <w:r>
        <w:t xml:space="preserve">228,200 measured compound-endpoint records from ChEMBL (1), BindingDB (2) and B3DB</w:t>
      </w:r>
      <w:r>
        <w:t xml:space="preserve"> </w:t>
      </w:r>
      <w:r>
        <w:t xml:space="preserve">(3). Under scaffold-grouped 10-fold cross-validation the measured-label classifiers reach a mean</w:t>
      </w:r>
      <w:r>
        <w:t xml:space="preserve"> </w:t>
      </w:r>
      <w:r>
        <w:t xml:space="preserve">AUROC of 0.925 (0.958 under a random split), and expected calibration error falls from 0.0801 to</w:t>
      </w:r>
      <w:r>
        <w:t xml:space="preserve"> </w:t>
      </w:r>
      <w:r>
        <w:t xml:space="preserve">0.0147 after isotonic calibration (4). The binder panel is validated against compounds</w:t>
      </w:r>
      <w:r>
        <w:t xml:space="preserve"> </w:t>
      </w:r>
      <w:r>
        <w:t xml:space="preserve">tested at the same target and found inactive rather than against decoys, reaching a mean AUROC of</w:t>
      </w:r>
      <w:r>
        <w:t xml:space="preserve"> </w:t>
      </w:r>
      <w:r>
        <w:t xml:space="preserve">0.917. Every prediction carries a calibrated probability, a conformal interval, and an</w:t>
      </w:r>
      <w:r>
        <w:t xml:space="preserve"> </w:t>
      </w:r>
      <w:r>
        <w:t xml:space="preserve">applicability-domain distance to the nearest measured analogue, and the server reports silence</w:t>
      </w:r>
      <w:r>
        <w:t xml:space="preserve"> </w:t>
      </w:r>
      <w:r>
        <w:t xml:space="preserve">rather than a guess for compounds outside its competence: on non-CNS chemistry its specificity is</w:t>
      </w:r>
      <w:r>
        <w:t xml:space="preserve"> </w:t>
      </w:r>
      <w:r>
        <w:t xml:space="preserve">0.925 (95% CI 0.907 to 0.940). Disease-level scores are presented as a route from a mechanism to the</w:t>
      </w:r>
      <w:r>
        <w:t xml:space="preserve"> </w:t>
      </w:r>
      <w:r>
        <w:t xml:space="preserve">conditions it touches, not as an indication prediction. BrainSafe AI is freely available without</w:t>
      </w:r>
      <w:r>
        <w:t xml:space="preserve"> </w:t>
      </w:r>
      <w:r>
        <w:t xml:space="preserve">registration at https://huggingface.co/spaces/Krishnag999/brainsafe-ai, with source code, trained</w:t>
      </w:r>
      <w:r>
        <w:t xml:space="preserve"> </w:t>
      </w:r>
      <w:r>
        <w:t xml:space="preserve">models and every validation artefact at https://github.com/krishna-g-999/brainsafe-ai.</w:t>
      </w:r>
    </w:p>
    <w:bookmarkEnd w:id="18"/>
    <w:bookmarkStart w:id="19"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9"/>
    <w:bookmarkStart w:id="20"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pChEMBL values augmented with BindingDB affinities pooled at compound level;</w:t>
      </w:r>
      <w:r>
        <w:t xml:space="preserve"> </w:t>
      </w:r>
      <w:r>
        <w:t xml:space="preserve">blood-brain barrier labels come from B3DB augmented with FDA-curated approved drugs; the nine ADME</w:t>
      </w:r>
      <w:r>
        <w:t xml:space="preserve"> </w:t>
      </w:r>
      <w:r>
        <w:t xml:space="preserve">endpoints use measured sets from Therapeutics Data Commons (5), MoleculeNet (6), B3DB</w:t>
      </w:r>
      <w:r>
        <w:t xml:space="preserve"> </w:t>
      </w:r>
      <w:r>
        <w:t xml:space="preserve">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(7)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(8) is fitted per endpoint. That choice was made on a</w:t>
      </w:r>
      <w:r>
        <w:t xml:space="preserve"> </w:t>
      </w:r>
      <w:r>
        <w:t xml:space="preserve">like-for-like comparison over thirteen core endpoints against XGBoost (9),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(10)</w:t>
      </w:r>
      <w:r>
        <w:t xml:space="preserve"> </w:t>
      </w:r>
      <w:r>
        <w:t xml:space="preserve">is exact for it rather than approximate. Classifiers are isotonically calibrated (4)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20"/>
    <w:bookmarkStart w:id="21"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Figure 2. Under random</w:t>
      </w:r>
      <w:r>
        <w:t xml:space="preserve"> </w:t>
      </w:r>
      <w:r>
        <w:t xml:space="preserve">10-fold cross-validation the measured-label classifiers reach a mean AUROC of 0.958 (0.899 to</w:t>
      </w:r>
      <w:r>
        <w:t xml:space="preserve"> </w:t>
      </w:r>
      <w:r>
        <w:t xml:space="preserve">0.976); under a scaffold-grouped split that withholds entire structural classes, 0.925 (0.878 to</w:t>
      </w:r>
      <w:r>
        <w:t xml:space="preserve"> </w:t>
      </w:r>
      <w:r>
        <w:t xml:space="preserve">0.965). Expected calibration error falls from 0.0801 to 0.0147 after isotonic calibration, and</w:t>
      </w:r>
      <w:r>
        <w:t xml:space="preserve"> </w:t>
      </w:r>
      <w:r>
        <w:t xml:space="preserve">conformal prediction (16) on the eight core classifiers, on the deduplicated matrix the</w:t>
      </w:r>
      <w:r>
        <w:t xml:space="preserve"> </w:t>
      </w:r>
      <w:r>
        <w:t xml:space="preserve">classifiers are trained on, achieves empirical coverage of 0.876 to 0.933 against a 0.90 target,</w:t>
      </w:r>
      <w:r>
        <w:t xml:space="preserve"> </w:t>
      </w:r>
      <w:r>
        <w:t xml:space="preserve">with mean set size from 0.956 to 1.215 on a two-class problem where 1.0 is a confident single label</w:t>
      </w:r>
      <w:r>
        <w:t xml:space="preserve"> </w:t>
      </w:r>
      <w:r>
        <w:t xml:space="preserve">(Figure 3A).</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(Figure 5).</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4.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21"/>
    <w:bookmarkStart w:id="22" w:name="discussion"/>
    <w:p>
      <w:pPr>
        <w:pStyle w:val="Heading2"/>
      </w:pPr>
      <w:r>
        <w:t xml:space="preserve">Discussion</w:t>
      </w:r>
    </w:p>
    <w:p>
      <w:pPr>
        <w:pStyle w:val="FirstParagraph"/>
      </w:pPr>
      <w:r>
        <w:t xml:space="preserve">BrainSafe AI couples exposure and engagement in one pass, and reports the confidence of each. Its</w:t>
      </w:r>
      <w:r>
        <w:t xml:space="preserve"> </w:t>
      </w:r>
      <w:r>
        <w:t xml:space="preserve">distinguishing choices are that the negative class is recovered from measurement rather than</w:t>
      </w:r>
      <w:r>
        <w:t xml:space="preserve"> </w:t>
      </w:r>
      <w:r>
        <w:t xml:space="preserve">simulated, that thresholds are measured on a pool disjoint from the one that set them, and that</w:t>
      </w:r>
      <w:r>
        <w:t xml:space="preserve"> </w:t>
      </w:r>
      <w:r>
        <w:t xml:space="preserve">target scores are gated by predicted exposure.</w:t>
      </w:r>
    </w:p>
    <w:p>
      <w:pPr>
        <w:pStyle w:val="BodyText"/>
      </w:pPr>
      <w:r>
        <w:t xml:space="preserve">Five limitations bound its use. First, the 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22"/>
    <w:bookmarkStart w:id="23"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23"/>
    <w:bookmarkStart w:id="24"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This must be supplied by the author team.</w:t>
      </w:r>
    </w:p>
    <w:bookmarkEnd w:id="24"/>
    <w:bookmarkStart w:id="25" w:name="funding"/>
    <w:p>
      <w:pPr>
        <w:pStyle w:val="Heading2"/>
      </w:pPr>
      <w:r>
        <w:t xml:space="preserve">Funding</w:t>
      </w:r>
    </w:p>
    <w:p>
      <w:pPr>
        <w:pStyle w:val="FirstParagraph"/>
      </w:pPr>
      <w:r>
        <w:t xml:space="preserve">[TO BE SUPPLIED]</w:t>
      </w:r>
    </w:p>
    <w:bookmarkEnd w:id="25"/>
    <w:bookmarkStart w:id="26" w:name="conflict-of-interest"/>
    <w:p>
      <w:pPr>
        <w:pStyle w:val="Heading2"/>
      </w:pPr>
      <w:r>
        <w:t xml:space="preserve">Conflict of interest</w:t>
      </w:r>
    </w:p>
    <w:p>
      <w:pPr>
        <w:pStyle w:val="FirstParagraph"/>
      </w:pPr>
      <w:r>
        <w:t xml:space="preserve">None declared.</w:t>
      </w:r>
    </w:p>
    <w:bookmarkEnd w:id="26"/>
    <w:bookmarkStart w:id="27"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27"/>
    <w:bookmarkStart w:id="43" w:name="figure-legends"/>
    <w:p>
      <w:pPr>
        <w:pStyle w:val="Heading2"/>
      </w:pPr>
      <w:r>
        <w:t xml:space="preserve">Figure legends</w:t>
      </w:r>
    </w:p>
    <w:p>
      <w:pPr>
        <w:pStyle w:val="CaptionedFigure"/>
      </w:pPr>
      <w:r>
        <w:drawing>
          <wp:inline>
            <wp:extent cx="5727700" cy="4801771"/>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5727700" cy="480177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727700" cy="4397607"/>
            <wp:effectExtent b="0" l="0" r="0" t="0"/>
            <wp:docPr descr="Figure 2" title="" id="32" name="Picture"/>
            <a:graphic>
              <a:graphicData uri="http://schemas.openxmlformats.org/drawingml/2006/picture">
                <pic:pic>
                  <pic:nvPicPr>
                    <pic:cNvPr descr="figures/Figure9_model_atlas.png" id="33" name="Picture"/>
                    <pic:cNvPicPr>
                      <a:picLocks noChangeArrowheads="1" noChangeAspect="1"/>
                    </pic:cNvPicPr>
                  </pic:nvPicPr>
                  <pic:blipFill>
                    <a:blip r:embed="rId31"/>
                    <a:stretch>
                      <a:fillRect/>
                    </a:stretch>
                  </pic:blipFill>
                  <pic:spPr bwMode="auto">
                    <a:xfrm>
                      <a:off x="0" y="0"/>
                      <a:ext cx="5727700" cy="439760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 family median</w:t>
      </w:r>
      <w:r>
        <w:t xml:space="preserve"> </w:t>
      </w:r>
      <w:r>
        <w:t xml:space="preserve">marked. The spread is the point: the binder classifiers have a median of 0.945 while the exposure and</w:t>
      </w:r>
      <w:r>
        <w:t xml:space="preserve"> </w:t>
      </w:r>
      <w:r>
        <w:t xml:space="preserve">ADME family, which mixes AUROC and R² endpoints, has a median of 0.574, and a single panel average</w:t>
      </w:r>
      <w:r>
        <w:t xml:space="preserve"> </w:t>
      </w:r>
      <w:r>
        <w:t xml:space="preserve">would 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727700" cy="3599115"/>
            <wp:effectExtent b="0" l="0" r="0" t="0"/>
            <wp:docPr descr="Figure 3" title="" id="35" name="Picture"/>
            <a:graphic>
              <a:graphicData uri="http://schemas.openxmlformats.org/drawingml/2006/picture">
                <pic:pic>
                  <pic:nvPicPr>
                    <pic:cNvPr descr="figures/Figure6_validation.png" id="36" name="Picture"/>
                    <pic:cNvPicPr>
                      <a:picLocks noChangeArrowheads="1" noChangeAspect="1"/>
                    </pic:cNvPicPr>
                  </pic:nvPicPr>
                  <pic:blipFill>
                    <a:blip r:embed="rId34"/>
                    <a:stretch>
                      <a:fillRect/>
                    </a:stretch>
                  </pic:blipFill>
                  <pic:spPr bwMode="auto">
                    <a:xfrm>
                      <a:off x="0" y="0"/>
                      <a:ext cx="5727700" cy="359911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(17)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w:t>
      </w:r>
      <w:r>
        <w:t xml:space="preserve"> </w:t>
      </w:r>
      <w:r>
        <w:t xml:space="preserve">retuned; every check is drawn at the same size whatever its verdict, so a future failure would be</w:t>
      </w:r>
      <w:r>
        <w:t xml:space="preserve"> </w:t>
      </w:r>
      <w:r>
        <w:t xml:space="preserve">exactly this visible.</w:t>
      </w:r>
    </w:p>
    <w:p>
      <w:pPr>
        <w:pStyle w:val="CaptionedFigure"/>
      </w:pPr>
      <w:r>
        <w:drawing>
          <wp:inline>
            <wp:extent cx="5727700" cy="2991917"/>
            <wp:effectExtent b="0" l="0" r="0" t="0"/>
            <wp:docPr descr="Figure 4" title="" id="38" name="Picture"/>
            <a:graphic>
              <a:graphicData uri="http://schemas.openxmlformats.org/drawingml/2006/picture">
                <pic:pic>
                  <pic:nvPicPr>
                    <pic:cNvPr descr="figures/Figure8_use_case.png" id="39" name="Picture"/>
                    <pic:cNvPicPr>
                      <a:picLocks noChangeArrowheads="1" noChangeAspect="1"/>
                    </pic:cNvPicPr>
                  </pic:nvPicPr>
                  <pic:blipFill>
                    <a:blip r:embed="rId37"/>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727700" cy="5110994"/>
            <wp:effectExtent b="0" l="0" r="0" t="0"/>
            <wp:docPr descr="Figure 5" title="" id="41" name="Picture"/>
            <a:graphic>
              <a:graphicData uri="http://schemas.openxmlformats.org/drawingml/2006/picture">
                <pic:pic>
                  <pic:nvPicPr>
                    <pic:cNvPr descr="figures/Figure11_external_validation.png" id="42" name="Picture"/>
                    <pic:cNvPicPr>
                      <a:picLocks noChangeArrowheads="1" noChangeAspect="1"/>
                    </pic:cNvPicPr>
                  </pic:nvPicPr>
                  <pic:blipFill>
                    <a:blip r:embed="rId40"/>
                    <a:stretch>
                      <a:fillRect/>
                    </a:stretch>
                  </pic:blipFill>
                  <pic:spPr bwMode="auto">
                    <a:xfrm>
                      <a:off x="0" y="0"/>
                      <a:ext cx="5727700" cy="511099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bookmarkEnd w:id="43"/>
    <w:bookmarkEnd w:id="44"/>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2026-09-16T05:23:57Z</dcterms:created>
  <dcterms:modified xsi:type="dcterms:W3CDTF">2026-09-16T05:23:57Z</dcterms:modified>
</cp:coreProperties>
</file>

<file path=docProps/custom.xml><?xml version="1.0" encoding="utf-8"?>
<Properties xmlns="http://schemas.openxmlformats.org/officeDocument/2006/custom-properties" xmlns:vt="http://schemas.openxmlformats.org/officeDocument/2006/docPropsVTypes"/>
</file>