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e54b4e2e5278e733ca987cb2d3cae43730fa12"/>
    <w:p>
      <w:pPr>
        <w:pStyle w:val="Heading1"/>
      </w:pPr>
      <w:r>
        <w:t xml:space="preserve">Chapter 7. Exposure gating and the pathway graph</w:t>
      </w:r>
    </w:p>
    <w:p>
      <w:r>
        <w:pict>
          <v:rect style="width:0;height:1.5pt" o:hralign="center" o:hrstd="t" o:hr="t"/>
        </w:pict>
      </w:r>
    </w:p>
    <w:bookmarkStart w:id="9" w:name="X285a467a6895d40314054d4f6f4f6c2cf7ca699"/>
    <w:p>
      <w:pPr>
        <w:pStyle w:val="Heading2"/>
      </w:pPr>
      <w:r>
        <w:t xml:space="preserve">7.1 What this layer is for, and what it is not</w:t>
      </w:r>
    </w:p>
    <w:p>
      <w:pPr>
        <w:pStyle w:val="FirstParagraph"/>
      </w:pPr>
      <w:r>
        <w:t xml:space="preserve">Everything to this point produces per-target probabilities. This chapter is about the rule that turns</w:t>
      </w:r>
      <w:r>
        <w:t xml:space="preserve"> </w:t>
      </w:r>
      <w:r>
        <w:t xml:space="preserve">seventy independent numbers into one answer, and it is the part of the system that has been most</w:t>
      </w:r>
      <w:r>
        <w:t xml:space="preserve"> </w:t>
      </w:r>
      <w:r>
        <w:t xml:space="preserve">misdescribed, including by its own authors.</w:t>
      </w:r>
    </w:p>
    <w:p>
      <w:pPr>
        <w:pStyle w:val="BodyText"/>
      </w:pPr>
      <w:r>
        <w:t xml:space="preserve">The disease layer takes the engaged targets, weights them through a curated graph, gates them by</w:t>
      </w:r>
      <w:r>
        <w:t xml:space="preserve"> </w:t>
      </w:r>
      <w:r>
        <w:t xml:space="preserve">predicted exposure, and returns a ranked list of conditions. It is a</w:t>
      </w:r>
      <w:r>
        <w:t xml:space="preserve"> </w:t>
      </w:r>
      <w:r>
        <w:rPr>
          <w:b/>
          <w:bCs/>
        </w:rPr>
        <w:t xml:space="preserve">route from a mechanism to the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 that mechanism touches</w:t>
      </w:r>
      <w:r>
        <w:t xml:space="preserve">. It is not an indication prediction, and Chapter 10 records the</w:t>
      </w:r>
      <w:r>
        <w:t xml:space="preserve"> </w:t>
      </w:r>
      <w:r>
        <w:t xml:space="preserve">structural reason it cannot be: 27 of the 51 targets in the graph drive more than one of its 16</w:t>
      </w:r>
      <w:r>
        <w:t xml:space="preserve"> </w:t>
      </w:r>
      <w:r>
        <w:t xml:space="preserve">conditions, and what selects among them, dose, regimen and patient population, is not present in a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Three components need separate justification, and the falsification suite refuted the stated purpose</w:t>
      </w:r>
      <w:r>
        <w:t xml:space="preserve"> </w:t>
      </w:r>
      <w:r>
        <w:t xml:space="preserve">of two of them.</w:t>
      </w:r>
    </w:p>
    <w:bookmarkEnd w:id="9"/>
    <w:bookmarkStart w:id="11" w:name="X64021e3e45cf3ef5c8783b683826c463c8d95ba"/>
    <w:p>
      <w:pPr>
        <w:pStyle w:val="Heading2"/>
      </w:pPr>
      <w:r>
        <w:t xml:space="preserve">7.2 The engagement signal: three maps onto one scale</w:t>
      </w:r>
    </w:p>
    <w:p>
      <w:pPr>
        <w:pStyle w:val="FirstParagraph"/>
      </w:pPr>
      <w:r>
        <w:t xml:space="preserve">The endpoints are not commensurable. Each has its own base rate, its own threshold, and one has a</w:t>
      </w:r>
      <w:r>
        <w:t xml:space="preserve"> </w:t>
      </w:r>
      <w:r>
        <w:t xml:space="preserve">continuous readout. A probability of 0.6 at hERG and a probability of 0.6 at BACE1 are not the same</w:t>
      </w:r>
      <w:r>
        <w:t xml:space="preserve"> </w:t>
      </w:r>
      <w:r>
        <w:t xml:space="preserve">statement, and averaging or ranking them directly would be meaningless.</w:t>
      </w:r>
    </w:p>
    <w:p>
      <w:pPr>
        <w:pStyle w:val="BodyText"/>
      </w:pPr>
      <w:r>
        <w:t xml:space="preserve">Three maps carry them onto a common [0, 1] scale.</w:t>
      </w:r>
    </w:p>
    <w:p>
      <w:pPr>
        <w:pStyle w:val="BodyText"/>
      </w:pPr>
      <w:r>
        <w:rPr>
          <w:b/>
          <w:bCs/>
        </w:rPr>
        <w:t xml:space="preserve">Where the negatives are measured</w:t>
      </w:r>
      <w:r>
        <w:t xml:space="preserve">, with base rate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the signal is the signed enrichment over</w:t>
      </w:r>
      <w:r>
        <w:t xml:space="preserve"> </w:t>
      </w:r>
      <w:r>
        <w:t xml:space="preserve">prevalence, clipped at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For a decoy-trained binder</w:t>
      </w:r>
      <w:r>
        <w:t xml:space="preserve"> </w:t>
      </w:r>
      <w:r>
        <w:t xml:space="preserve">the threshold takes the role the base rate takes above: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sub-threshold call, which by Chapter 5’s construction lies within the measured background</w:t>
      </w:r>
      <w:r>
        <w:t xml:space="preserve"> </w:t>
      </w:r>
      <w:r>
        <w:t xml:space="preserve">false-positive rate, contributes exactly zero.</w:t>
      </w:r>
    </w:p>
    <w:p>
      <w:pPr>
        <w:pStyle w:val="BodyText"/>
      </w:pPr>
      <w:r>
        <w:rPr>
          <w:b/>
          <w:bCs/>
        </w:rPr>
        <w:t xml:space="preserve">For the antioxidant assay</w:t>
      </w:r>
      <w:r>
        <w:t xml:space="preserve"> </w:t>
      </w:r>
      <w:r>
        <w:t xml:space="preserve">the signal is the percentile of the predicted value against the measured</w:t>
      </w:r>
      <w:r>
        <w:t xml:space="preserve"> </w:t>
      </w:r>
      <w:r>
        <w:t xml:space="preserve">training distribution.</w:t>
      </w:r>
    </w:p>
    <w:bookmarkStart w:id="10" w:name="why-enrichment-rather-than-probability"/>
    <w:p>
      <w:pPr>
        <w:pStyle w:val="Heading3"/>
      </w:pPr>
      <w:r>
        <w:t xml:space="preserve">Why enrichment rather than probability</w:t>
      </w:r>
    </w:p>
    <w:p>
      <w:pPr>
        <w:pStyle w:val="FirstParagraph"/>
      </w:pPr>
      <w:r>
        <w:t xml:space="preserve">The base rates make the case concretely. Across the eight core classifiers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submission_package/07_MODELS/endpoint_base_rates.json</w:t>
      </w:r>
      <w:r>
        <w:t xml:space="preserve">) they run from</w:t>
      </w:r>
      <w:r>
        <w:t xml:space="preserve"> </w:t>
      </w:r>
      <w:r>
        <w:rPr>
          <w:b/>
          <w:bCs/>
        </w:rPr>
        <w:t xml:space="preserve">0.236 at hERG to 0.862 at</w:t>
      </w:r>
      <w:r>
        <w:rPr>
          <w:b/>
          <w:bCs/>
        </w:rPr>
        <w:t xml:space="preserve"> </w:t>
      </w:r>
      <w:r>
        <w:rPr>
          <w:b/>
          <w:bCs/>
        </w:rPr>
        <w:t xml:space="preserve">BACE1</w:t>
      </w:r>
      <w:r>
        <w:t xml:space="preserve">, a span of nearly four-fold: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</w:tr>
    </w:tbl>
    <w:p>
      <w:pPr>
        <w:pStyle w:val="BodyText"/>
      </w:pPr>
      <w:r>
        <w:t xml:space="preserve">A calibrated probability of 0.60 is therefore</w:t>
      </w:r>
      <w:r>
        <w:t xml:space="preserve"> </w:t>
      </w:r>
      <w:r>
        <w:rPr>
          <w:b/>
          <w:bCs/>
        </w:rPr>
        <w:t xml:space="preserve">strong evidence of activity at hERG</w:t>
      </w:r>
      <w:r>
        <w:t xml:space="preserve">, where only 24</w:t>
      </w:r>
      <w:r>
        <w:t xml:space="preserve"> </w:t>
      </w:r>
      <w:r>
        <w:t xml:space="preserve">per cent of the measured set is active, and</w:t>
      </w:r>
      <w:r>
        <w:t xml:space="preserve"> </w:t>
      </w:r>
      <w:r>
        <w:rPr>
          <w:b/>
          <w:bCs/>
        </w:rPr>
        <w:t xml:space="preserve">evidence of inactivity at BACE1</w:t>
      </w:r>
      <w:r>
        <w:t xml:space="preserve">, where 86 per cent is.</w:t>
      </w:r>
      <w:r>
        <w:t xml:space="preserve"> </w:t>
      </w:r>
      <w:r>
        <w:t xml:space="preserve">Ranking the raw probabilities would put those two compounds in the same place. The enrichment map</w:t>
      </w:r>
      <w:r>
        <w:t xml:space="preserve"> </w:t>
      </w:r>
      <w:r>
        <w:t xml:space="preserve">puts them on opposite sides of zero, which is the pharmacologically correct answer.</w:t>
      </w:r>
    </w:p>
    <w:p>
      <w:pPr>
        <w:pStyle w:val="BodyText"/>
      </w:pPr>
      <w:r>
        <w:t xml:space="preserve">The negative branch matters as much as the positive one. A probability below an endpoint’s base rate</w:t>
      </w:r>
      <w:r>
        <w:t xml:space="preserve"> </w:t>
      </w:r>
      <w:r>
        <w:t xml:space="preserve">is evidence of inactivity, not weak evidence of activity, and mapping it to a small positive number</w:t>
      </w:r>
      <w:r>
        <w:t xml:space="preserve"> </w:t>
      </w:r>
      <w:r>
        <w:t xml:space="preserve">would misstate it. Clipping at zero means such a target contributes nothing to any condition rather</w:t>
      </w:r>
      <w:r>
        <w:t xml:space="preserve"> </w:t>
      </w:r>
      <w:r>
        <w:t xml:space="preserve">than contributing a little.</w:t>
      </w:r>
    </w:p>
    <w:p>
      <w:pPr>
        <w:pStyle w:val="BodyText"/>
      </w:pPr>
      <w:r>
        <w:t xml:space="preserve">The interface always shows the untransformed calibrated probability beside the signal, because only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comparable across endpoints and only the probability is interpretable on its own.</w:t>
      </w:r>
    </w:p>
    <w:bookmarkEnd w:id="10"/>
    <w:bookmarkEnd w:id="11"/>
    <w:bookmarkStart w:id="12" w:name="the-pathway-graph"/>
    <w:p>
      <w:pPr>
        <w:pStyle w:val="Heading2"/>
      </w:pPr>
      <w:r>
        <w:t xml:space="preserve">7.3 The pathway graph</w:t>
      </w:r>
    </w:p>
    <w:p>
      <w:pPr>
        <w:pStyle w:val="FirstParagraph"/>
      </w:pPr>
      <w:r>
        <w:t xml:space="preserve">The graph is curated, versioned and anchored to KEGG [31], Reactome [32] and IUPHAR [33]. Read directly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it holds: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394"/>
        <w:gridCol w:w="4525"/>
      </w:tblGrid>
      <w:tr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whose mechanism is peripheral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 migraine and multiple sclerosis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 driving more than one condition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 of 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 per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5.5, from 1 to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per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2, maximum 3</w:t>
            </w:r>
          </w:p>
        </w:tc>
      </w:tr>
    </w:tbl>
    <w:p>
      <w:pPr>
        <w:pStyle w:val="BodyText"/>
      </w:pPr>
      <w:r>
        <w:t xml:space="preserve">Each edge carries a pathway name, a KEGG identifier, a condition and a weight, for example</w:t>
      </w:r>
      <w:r>
        <w:t xml:space="preserve"> </w:t>
      </w:r>
      <w:r>
        <w:rPr>
          <w:rStyle w:val="VerbatimChar"/>
        </w:rPr>
        <w:t xml:space="preserve">AChE → ('Cholinergic synapse', 'hsa04725', "Alzheimer's disease", 1.0)</w:t>
      </w:r>
      <w:r>
        <w:t xml:space="preserve">. The best-connected condition</w:t>
      </w:r>
      <w:r>
        <w:t xml:space="preserve"> </w:t>
      </w:r>
      <w:r>
        <w:t xml:space="preserve">is depression and anxiety with 11 targets; the least connected has one.</w:t>
      </w:r>
    </w:p>
    <w:p>
      <w:pPr>
        <w:pStyle w:val="BodyText"/>
      </w:pPr>
      <w:r>
        <w:t xml:space="preserve">The weights take</w:t>
      </w:r>
      <w:r>
        <w:t xml:space="preserve"> </w:t>
      </w:r>
      <w:r>
        <w:rPr>
          <w:b/>
          <w:bCs/>
        </w:rPr>
        <w:t xml:space="preserve">8 distinct values from 0.40 to 1.00</w:t>
      </w:r>
      <w:r>
        <w:t xml:space="preserve">, with a mean of 0.780 and a median of 0.80,</w:t>
      </w:r>
      <w:r>
        <w:t xml:space="preserve"> </w:t>
      </w:r>
      <w:r>
        <w:t xml:space="preserve">distributed as 1.00 (16 edges), 0.90 (13), 0.85 (2), 0.80 (18), 0.70 (17), 0.60 (9), 0.50 (4) and</w:t>
      </w:r>
      <w:r>
        <w:t xml:space="preserve"> </w:t>
      </w:r>
      <w:r>
        <w:t xml:space="preserve">0.40 (4). Section 7.6 reports what they contribute.</w:t>
      </w:r>
    </w:p>
    <w:bookmarkEnd w:id="12"/>
    <w:bookmarkStart w:id="13" w:name="aggregation-is-a-maximum-not-a-sum"/>
    <w:p>
      <w:pPr>
        <w:pStyle w:val="Heading2"/>
      </w:pPr>
      <w:r>
        <w:t xml:space="preserve">7.4 Aggregation is a maximum, not a sum</w:t>
      </w:r>
    </w:p>
    <w:p>
      <w:pPr>
        <w:pStyle w:val="FirstParagraph"/>
      </w:pPr>
      <w:r>
        <w:t xml:space="preserve">A condition is scored by its single strongest engaged mechanism: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Engaging three of a condition’s targets therefore scores exactly as engaging its strongest. That looks</w:t>
      </w:r>
      <w:r>
        <w:t xml:space="preserve"> </w:t>
      </w:r>
      <w:r>
        <w:t xml:space="preserve">like discarding information and is a deliberate choice with a measured justification.</w:t>
      </w:r>
    </w:p>
    <w:p>
      <w:pPr>
        <w:pStyle w:val="BodyText"/>
      </w:pPr>
      <w:r>
        <w:t xml:space="preserve">The justification is H8. Counted across approved drugs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),</w:t>
      </w:r>
      <w:r>
        <w:t xml:space="preserve"> </w:t>
      </w:r>
      <w:r>
        <w:rPr>
          <w:b/>
          <w:bCs/>
        </w:rPr>
        <w:t xml:space="preserve">37 targets fire at least once but span only 16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directions</w:t>
      </w:r>
      <w:r>
        <w:t xml:space="preserve">. Targets fire in correlated families, and five homologous pairs correlate</w:t>
      </w:r>
      <w:r>
        <w:t xml:space="preserve"> </w:t>
      </w:r>
      <w:r>
        <w:t xml:space="preserve">above φ = 0.5: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Opioid</w:t>
            </w:r>
          </w:p>
        </w:tc>
        <w:tc>
          <w:tcPr/>
          <w:p>
            <w:pPr>
              <w:pStyle w:val="Compact"/>
            </w:pPr>
            <w:r>
              <w:t xml:space="preserve">μ-opioid, κ-opioid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Monoamine transporters</w:t>
            </w:r>
          </w:p>
        </w:tc>
        <w:tc>
          <w:tcPr/>
          <w:p>
            <w:pPr>
              <w:pStyle w:val="Compact"/>
            </w:pPr>
            <w:r>
              <w:t xml:space="preserve">SERT,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Dopamine</w:t>
            </w:r>
          </w:p>
        </w:tc>
        <w:tc>
          <w:tcPr/>
          <w:p>
            <w:pPr>
              <w:pStyle w:val="Compact"/>
            </w:pPr>
            <w:r>
              <w:t xml:space="preserve">D2, 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GPCR</w:t>
            </w:r>
          </w:p>
        </w:tc>
        <w:tc>
          <w:tcPr/>
          <w:p>
            <w:pPr>
              <w:pStyle w:val="Compact"/>
            </w:pPr>
            <w:r>
              <w:t xml:space="preserve">5-HT2A,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GPCR</w:t>
            </w:r>
          </w:p>
        </w:tc>
        <w:tc>
          <w:tcPr/>
          <w:p>
            <w:pPr>
              <w:pStyle w:val="Compact"/>
            </w:pPr>
            <w:r>
              <w:t xml:space="preserve">5-HT1A,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</w:tbl>
    <w:p>
      <w:pPr>
        <w:pStyle w:val="BodyText"/>
      </w:pPr>
      <w:r>
        <w:t xml:space="preserve">A sum over engaged targets would count one observation several times. A promiscuous ligand engaging</w:t>
      </w:r>
      <w:r>
        <w:t xml:space="preserve"> </w:t>
      </w:r>
      <w:r>
        <w:t xml:space="preserve">both opioid receptors has provided one piece of evidence about the opioid system, not two, and at</w:t>
      </w:r>
      <w:r>
        <w:t xml:space="preserve"> </w:t>
      </w:r>
      <w:r>
        <w:t xml:space="preserve">φ = 0.798 the second is nearly determined by the first. The maximum is immune to this by construction,</w:t>
      </w:r>
      <w:r>
        <w:t xml:space="preserve"> </w:t>
      </w:r>
      <w:r>
        <w:t xml:space="preserve">and it has the further property that one target explains the score and can be named to the user.</w:t>
      </w:r>
    </w:p>
    <w:p>
      <w:pPr>
        <w:pStyle w:val="BodyText"/>
      </w:pPr>
      <w:r>
        <w:t xml:space="preserve">Co-firing is not itself an error: a promiscuous ligand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engage both homologues. Presenting it</w:t>
      </w:r>
      <w:r>
        <w:t xml:space="preserve"> </w:t>
      </w:r>
      <w:r>
        <w:t xml:space="preserve">as corroboration is the error, and the interface now groups engaged targets by homology family and</w:t>
      </w:r>
      <w:r>
        <w:t xml:space="preserve"> </w:t>
      </w:r>
      <w:r>
        <w:t xml:space="preserve">quotes the measured correlation wherever two members fire.</w:t>
      </w:r>
    </w:p>
    <w:p>
      <w:pPr>
        <w:pStyle w:val="BodyText"/>
      </w:pPr>
      <w:r>
        <w:t xml:space="preserve">The firing pattern is otherwise sparse. A random compound fires a mean of</w:t>
      </w:r>
      <w:r>
        <w:t xml:space="preserve"> </w:t>
      </w:r>
      <w:r>
        <w:rPr>
          <w:b/>
          <w:bCs/>
        </w:rPr>
        <w:t xml:space="preserve">0.242</w:t>
      </w:r>
      <w:r>
        <w:t xml:space="preserve"> </w:t>
      </w:r>
      <w:r>
        <w:t xml:space="preserve">binder endpoints</w:t>
      </w:r>
      <w:r>
        <w:t xml:space="preserve"> </w:t>
      </w:r>
      <w:r>
        <w:t xml:space="preserve">and an approved drug</w:t>
      </w:r>
      <w:r>
        <w:t xml:space="preserve"> </w:t>
      </w:r>
      <w:r>
        <w:rPr>
          <w:b/>
          <w:bCs/>
        </w:rPr>
        <w:t xml:space="preserve">1.49</w:t>
      </w:r>
      <w:r>
        <w:t xml:space="preserve">, so for most queries the maximum is taken over a set with one non-zero</w:t>
      </w:r>
      <w:r>
        <w:t xml:space="preserve"> </w:t>
      </w:r>
      <w:r>
        <w:t xml:space="preserve">member, and the choice between maximum and sum rarely arises at all.</w:t>
      </w:r>
    </w:p>
    <w:bookmarkEnd w:id="13"/>
    <w:bookmarkStart w:id="14" w:name="X2c373ea421fd4e4fa7a3ecc7b782cb5cdb282ef"/>
    <w:p>
      <w:pPr>
        <w:pStyle w:val="Heading2"/>
      </w:pPr>
      <w:r>
        <w:t xml:space="preserve">7.5 The exposure gate, and why H3 is refuted by construction</w:t>
      </w:r>
    </w:p>
    <w:p>
      <w:pPr>
        <w:pStyle w:val="FirstParagraph"/>
      </w:pPr>
      <w:r>
        <w:t xml:space="preserve">The gate is the system’s central design claim: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two peripheral conditions. Potency at a target the compound cannot reach contributes</w:t>
      </w:r>
      <w:r>
        <w:t xml:space="preserve"> </w:t>
      </w:r>
      <w:r>
        <w:t xml:space="preserve">essentially nothing. This is the one place the models are combined multiplicatively and it encodes a</w:t>
      </w:r>
      <w:r>
        <w:t xml:space="preserve"> </w:t>
      </w:r>
      <w:r>
        <w:t xml:space="preserve">pharmacological fact rather than a statistical convenience.</w:t>
      </w:r>
    </w:p>
    <w:p>
      <w:pPr>
        <w:pStyle w:val="BodyText"/>
      </w:pPr>
      <w:r>
        <w:rPr>
          <w:b/>
          <w:bCs/>
        </w:rPr>
        <w:t xml:space="preserve">H3 asked whether gating discriminates between diseases. It does not, and the proof is algebraic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empirical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inversion/results/H3_gating.csv</w:t>
      </w:r>
      <w:r>
        <w:t xml:space="preserve">). 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takes the same value</w:t>
      </w:r>
      <w:r>
        <w:t xml:space="preserve"> </w:t>
      </w:r>
      <w:r>
        <w:t xml:space="preserve">for all 14 non-peripheral conditions, multiplying every one of their scores by it is a common positive</w:t>
      </w:r>
      <w:r>
        <w:t xml:space="preserve"> </w:t>
      </w:r>
      <w:r>
        <w:t xml:space="preserve">scaling. A common positive scaling is rank-invariant. The gate therefore cannot change which condition</w:t>
      </w:r>
      <w:r>
        <w:t xml:space="preserve"> </w:t>
      </w:r>
      <w:r>
        <w:t xml:space="preserve">is ranked first, second or third; it can only move all of them together, and hence decide whether</w:t>
      </w:r>
      <w:r>
        <w:t xml:space="preserve"> </w:t>
      </w:r>
      <w:r>
        <w:t xml:space="preserve">anything clears the reporting threshold.</w:t>
      </w:r>
    </w:p>
    <w:p>
      <w:pPr>
        <w:pStyle w:val="BodyText"/>
      </w:pPr>
      <w:r>
        <w:t xml:space="preserve">The correct description is that</w:t>
      </w:r>
      <w:r>
        <w:t xml:space="preserve"> </w:t>
      </w:r>
      <w:r>
        <w:rPr>
          <w:b/>
          <w:bCs/>
        </w:rPr>
        <w:t xml:space="preserve">the gate is an exposure filter over a mechanism ranking</w:t>
      </w:r>
      <w:r>
        <w:t xml:space="preserve">. It</w:t>
      </w:r>
      <w:r>
        <w:t xml:space="preserve"> </w:t>
      </w:r>
      <w:r>
        <w:t xml:space="preserve">determines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report, never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to report.</w:t>
      </w:r>
    </w:p>
    <w:p>
      <w:pPr>
        <w:pStyle w:val="BodyText"/>
      </w:pPr>
      <w:r>
        <w:t xml:space="preserve">Three things follow, and it is worth separating them because a refutation is easy to over-read.</w:t>
      </w:r>
    </w:p>
    <w:p>
      <w:pPr>
        <w:pStyle w:val="BodyText"/>
      </w:pPr>
      <w:r>
        <w:rPr>
          <w:b/>
          <w:bCs/>
        </w:rPr>
        <w:t xml:space="preserve">The gate is not thereby useless.</w:t>
      </w:r>
      <w:r>
        <w:t xml:space="preserve"> </w:t>
      </w:r>
      <w:r>
        <w:t xml:space="preserve">Deciding whether to speak is the system’s most-used behaviour:</w:t>
      </w:r>
      <w:r>
        <w:t xml:space="preserve"> </w:t>
      </w:r>
      <w:r>
        <w:t xml:space="preserve">Chapter 4 records that 925 of 1,000 non-CNS compounds receive no disease call, and the gate is a</w:t>
      </w:r>
      <w:r>
        <w:t xml:space="preserve"> </w:t>
      </w:r>
      <w:r>
        <w:t xml:space="preserve">principal reason. A filter that suppresses 92.5 per cent of irrelevant chemistry is doing substantial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But it cannot be credited with the disease ranking.</w:t>
      </w:r>
      <w:r>
        <w:t xml:space="preserve"> </w:t>
      </w:r>
      <w:r>
        <w:t xml:space="preserve">Any claim that exposure gating sharpens the</w:t>
      </w:r>
      <w:r>
        <w:t xml:space="preserve"> </w:t>
      </w:r>
      <w:r>
        <w:t xml:space="preserve">disease call is arithmetically false, and the manuscript wording was changed because of this result.</w:t>
      </w:r>
    </w:p>
    <w:p>
      <w:pPr>
        <w:pStyle w:val="BodyText"/>
      </w:pPr>
      <w:r>
        <w:rPr>
          <w:b/>
          <w:bCs/>
        </w:rPr>
        <w:t xml:space="preserve">The two peripheral conditions are the exception that shows the rule.</w:t>
      </w:r>
      <w:r>
        <w:t xml:space="preserve"> </w:t>
      </w:r>
      <w:r>
        <w:t xml:space="preserve">Migraine and multiple</w:t>
      </w:r>
      <w:r>
        <w:t xml:space="preserve"> </w:t>
      </w:r>
      <w:r>
        <w:t xml:space="preserve">sclerosis are exempted from the gate because their mechanisms act outside the barrier. For those two,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while the other 14 are scaled by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</m:sub>
        </m:sSub>
      </m:oMath>
      <w:r>
        <w:t xml:space="preserve">, so the gate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change the</w:t>
      </w:r>
      <w:r>
        <w:t xml:space="preserve"> </w:t>
      </w:r>
      <w:r>
        <w:t xml:space="preserve">ranking between a peripheral and a central condition. H3’s refutation is exact for the 14 and does not</w:t>
      </w:r>
      <w:r>
        <w:t xml:space="preserve"> </w:t>
      </w:r>
      <w:r>
        <w:t xml:space="preserve">extend to the boundary between the two groups. No document in the project states this qualification,</w:t>
      </w:r>
      <w:r>
        <w:t xml:space="preserve"> </w:t>
      </w:r>
      <w:r>
        <w:t xml:space="preserve">and it should.</w:t>
      </w:r>
    </w:p>
    <w:bookmarkEnd w:id="14"/>
    <w:bookmarkStart w:id="15" w:name="X3e4ce380f25919b4146bfc0de9fbee2a7100da6"/>
    <w:p>
      <w:pPr>
        <w:pStyle w:val="Heading2"/>
      </w:pPr>
      <w:r>
        <w:t xml:space="preserve">7.6 The curated weights add nothing measurable</w:t>
      </w:r>
    </w:p>
    <w:p>
      <w:pPr>
        <w:pStyle w:val="FirstParagraph"/>
      </w:pPr>
      <w:r>
        <w:t xml:space="preserve">H2 replaced the curated edge weights with uniform weights and with randomly permuted ones, leaving the</w:t>
      </w:r>
      <w:r>
        <w:t xml:space="preserve"> </w:t>
      </w:r>
      <w:r>
        <w:t xml:space="preserve">topology untouched, and re-scored the disease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inversion/results/H2_weight_ablation.csv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Top-3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Uniform, all 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Randomly permuted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0.7874</w:t>
            </w:r>
          </w:p>
        </w:tc>
      </w:tr>
    </w:tbl>
    <w:p>
      <w:pPr>
        <w:pStyle w:val="BodyText"/>
      </w:pPr>
      <w:r>
        <w:t xml:space="preserve">The spread from curated to permuted is 0.0027. On the 7,008 compounds the evaluation uses, that is</w:t>
      </w:r>
      <w:r>
        <w:t xml:space="preserve"> </w:t>
      </w:r>
      <w:r>
        <w:t xml:space="preserve">the difference between about 5,537 and about 5,518 correct answers:</w:t>
      </w:r>
      <w:r>
        <w:t xml:space="preserve"> </w:t>
      </w:r>
      <w:r>
        <w:rPr>
          <w:b/>
          <w:bCs/>
        </w:rPr>
        <w:t xml:space="preserve">replacing hand-assigned weights</w:t>
      </w:r>
      <w:r>
        <w:rPr>
          <w:b/>
          <w:bCs/>
        </w:rPr>
        <w:t xml:space="preserve"> </w:t>
      </w:r>
      <w:r>
        <w:rPr>
          <w:b/>
          <w:bCs/>
        </w:rPr>
        <w:t xml:space="preserve">with uniform ones changes the top-3 outcome for roughly 3 compounds in 7,008, and permuting them</w:t>
      </w:r>
      <w:r>
        <w:rPr>
          <w:b/>
          <w:bCs/>
        </w:rPr>
        <w:t xml:space="preserve"> </w:t>
      </w:r>
      <w:r>
        <w:rPr>
          <w:b/>
          <w:bCs/>
        </w:rPr>
        <w:t xml:space="preserve">changes it for roughly 19.</w:t>
      </w:r>
    </w:p>
    <w:p>
      <w:pPr>
        <w:pStyle w:val="BodyText"/>
      </w:pPr>
      <w:r>
        <w:t xml:space="preserve">The mechanism is visible in section 7.4. Under a maximum, a weight affects the result only by scaling</w:t>
      </w:r>
      <w:r>
        <w:t xml:space="preserve"> </w:t>
      </w:r>
      <w:r>
        <w:t xml:space="preserve">the winning term or by changing which term wins. The weights span 0.40 to 1.00 with three quarters of</w:t>
      </w:r>
      <w:r>
        <w:t xml:space="preserve"> </w:t>
      </w:r>
      <w:r>
        <w:t xml:space="preserve">them at 0.70 or above, while the engagement signals span the full range and are exactly zero for</w:t>
      </w:r>
      <w:r>
        <w:t xml:space="preserve"> </w:t>
      </w:r>
      <w:r>
        <w:t xml:space="preserve">every sub-threshold target. When a condition has one engaged target, which the sparse firing pattern</w:t>
      </w:r>
      <w:r>
        <w:t xml:space="preserve"> </w:t>
      </w:r>
      <w:r>
        <w:t xml:space="preserve">makes the common case, the weight is a pure scale factor on a single term. The information lies in</w:t>
      </w:r>
      <w:r>
        <w:t xml:space="preserve"> </w:t>
      </w:r>
      <w:r>
        <w:rPr>
          <w:b/>
          <w:bCs/>
        </w:rPr>
        <w:t xml:space="preserve">which target connects to which condition</w:t>
      </w:r>
      <w:r>
        <w:t xml:space="preserve">, not in how strongly.</w:t>
      </w:r>
    </w:p>
    <w:p>
      <w:pPr>
        <w:pStyle w:val="BodyText"/>
      </w:pPr>
      <w:r>
        <w:t xml:space="preserve">The consequence for the thesis is a change in how the graph is described. The weights are</w:t>
      </w:r>
      <w:r>
        <w:t xml:space="preserve"> </w:t>
      </w:r>
      <w:r>
        <w:rPr>
          <w:b/>
          <w:bCs/>
        </w:rPr>
        <w:t xml:space="preserve">structure,</w:t>
      </w:r>
      <w:r>
        <w:rPr>
          <w:b/>
          <w:bCs/>
        </w:rPr>
        <w:t xml:space="preserve"> </w:t>
      </w:r>
      <w:r>
        <w:rPr>
          <w:b/>
          <w:bCs/>
        </w:rPr>
        <w:t xml:space="preserve">not tuned parameters</w:t>
      </w:r>
      <w:r>
        <w:t xml:space="preserve">, no claim is made for them, and the graph would be simpler and no less accurate</w:t>
      </w:r>
      <w:r>
        <w:t xml:space="preserve"> </w:t>
      </w:r>
      <w:r>
        <w:t xml:space="preserve">without them. That is a refutation the project acted on rather than argued with.</w:t>
      </w:r>
    </w:p>
    <w:bookmarkEnd w:id="15"/>
    <w:bookmarkStart w:id="16" w:name="what-the-disease-layer-does-establish"/>
    <w:p>
      <w:pPr>
        <w:pStyle w:val="Heading2"/>
      </w:pPr>
      <w:r>
        <w:t xml:space="preserve">7.7 What the disease layer does establish</w:t>
      </w:r>
    </w:p>
    <w:p>
      <w:pPr>
        <w:pStyle w:val="FirstParagraph"/>
      </w:pPr>
      <w:r>
        <w:t xml:space="preserve">Three hypotheses tested the layer itself, and they answer different questions. Taken together they</w:t>
      </w:r>
      <w:r>
        <w:t xml:space="preserve"> </w:t>
      </w:r>
      <w:r>
        <w:t xml:space="preserve">support a narrow claim rather than a broad one.</w:t>
      </w:r>
    </w:p>
    <w:p>
      <w:pPr>
        <w:pStyle w:val="BodyText"/>
      </w:pPr>
      <w:r>
        <w:rPr>
          <w:b/>
          <w:bCs/>
        </w:rPr>
        <w:t xml:space="preserve">H1: the layer carries information about the target-to-disease map.</w:t>
      </w:r>
      <w:r>
        <w:t xml:space="preserve"> </w:t>
      </w:r>
      <w:r>
        <w:t xml:space="preserve">Scored with hold-out models</w:t>
      </w:r>
      <w:r>
        <w:t xml:space="preserve"> </w:t>
      </w:r>
      <w:r>
        <w:t xml:space="preserve">only, and restricted to compounds that are training actives of no other panel target, top-3 accuracy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0.7901</w:t>
      </w:r>
      <w:r>
        <w:t xml:space="preserve"> </w:t>
      </w:r>
      <w:r>
        <w:t xml:space="preserve">with a 95 per cent interval of 0.7804 to 0.7995 on 7,008 compounds. Shuffling the</w:t>
      </w:r>
      <w:r>
        <w:t xml:space="preserve"> </w:t>
      </w:r>
      <w:r>
        <w:t xml:space="preserve">target-to-disease map gives</w:t>
      </w:r>
      <w:r>
        <w:t xml:space="preserve"> </w:t>
      </w:r>
      <w:r>
        <w:rPr>
          <w:b/>
          <w:bCs/>
        </w:rPr>
        <w:t xml:space="preserve">0.1625</w:t>
      </w:r>
      <w:r>
        <w:t xml:space="preserve"> </w:t>
      </w:r>
      <w:r>
        <w:t xml:space="preserve">(interval 0.0595 to 0.2919 over 200 permutations, p = 0.005).</w:t>
      </w:r>
      <w:r>
        <w:t xml:space="preserve"> </w:t>
      </w:r>
      <w:r>
        <w:t xml:space="preserve">Always answering with the three commonest conditions gives</w:t>
      </w:r>
      <w:r>
        <w:t xml:space="preserve"> </w:t>
      </w:r>
      <w:r>
        <w:rPr>
          <w:b/>
          <w:bCs/>
        </w:rPr>
        <w:t xml:space="preserve">0.5508</w:t>
      </w:r>
      <w:r>
        <w:t xml:space="preserve">. The layer beats both nulls.</w:t>
      </w:r>
    </w:p>
    <w:p>
      <w:pPr>
        <w:pStyle w:val="BodyText"/>
      </w:pPr>
      <w:r>
        <w:t xml:space="preserve">The caveat is in the phrase</w:t>
      </w:r>
      <w:r>
        <w:t xml:space="preserve"> </w:t>
      </w:r>
      <w:r>
        <w:t xml:space="preserve">“this project’s own map”</w:t>
      </w:r>
      <w:r>
        <w:t xml:space="preserve">. H1 asks whether the layer recovers the condition</w:t>
      </w:r>
      <w:r>
        <w:t xml:space="preserve"> </w:t>
      </w:r>
      <w:r>
        <w:t xml:space="preserve">a compound’s target maps to under the graph the project itself wrote. That is a real test of internal</w:t>
      </w:r>
      <w:r>
        <w:t xml:space="preserve"> </w:t>
      </w:r>
      <w:r>
        <w:t xml:space="preserve">consistency and it is not a test against the world.</w:t>
      </w:r>
    </w:p>
    <w:p>
      <w:pPr>
        <w:pStyle w:val="BodyText"/>
      </w:pPr>
      <w:r>
        <w:rPr>
          <w:b/>
          <w:bCs/>
        </w:rPr>
        <w:t xml:space="preserve">H6: against real clinical indications, the layer is far above chance and below a constant answer.</w:t>
      </w:r>
      <w:r>
        <w:t xml:space="preserve"> </w:t>
      </w:r>
      <w:r>
        <w:t xml:space="preserve">Ground truth is ChEMBL’s phase-4 drug indications, mapped to the panel through a keyword list fixed</w:t>
      </w:r>
      <w:r>
        <w:t xml:space="preserve"> </w:t>
      </w:r>
      <w:r>
        <w:t xml:space="preserve">before any prediction was made. On the</w:t>
      </w:r>
      <w:r>
        <w:t xml:space="preserve"> </w:t>
      </w:r>
      <w:r>
        <w:rPr>
          <w:b/>
          <w:bCs/>
        </w:rPr>
        <w:t xml:space="preserve">162 drugs whose exact structure appears nowhere in training</w:t>
      </w:r>
      <w:r>
        <w:t xml:space="preserve">,</w:t>
      </w:r>
      <w:r>
        <w:t xml:space="preserve"> </w:t>
      </w:r>
      <w:r>
        <w:t xml:space="preserve">top-3 accuracy is</w:t>
      </w:r>
      <w:r>
        <w:t xml:space="preserve"> </w:t>
      </w:r>
      <w:r>
        <w:rPr>
          <w:b/>
          <w:bCs/>
        </w:rPr>
        <w:t xml:space="preserve">0.3519</w:t>
      </w:r>
      <w:r>
        <w:t xml:space="preserve"> </w:t>
      </w:r>
      <w:r>
        <w:t xml:space="preserve">(interval 0.2825 to 0.428) against a permutation null of</w:t>
      </w:r>
      <w:r>
        <w:t xml:space="preserve"> </w:t>
      </w:r>
      <w:r>
        <w:rPr>
          <w:b/>
          <w:bCs/>
        </w:rPr>
        <w:t xml:space="preserve">0.1449</w:t>
      </w:r>
      <w:r>
        <w:t xml:space="preserve"> </w:t>
      </w:r>
      <w:r>
        <w:t xml:space="preserve">(p = 0.0005) and a frequency null of</w:t>
      </w:r>
      <w:r>
        <w:t xml:space="preserve"> </w:t>
      </w:r>
      <w:r>
        <w:rPr>
          <w:b/>
          <w:bCs/>
        </w:rPr>
        <w:t xml:space="preserve">0.6543</w:t>
      </w:r>
      <w:r>
        <w:t xml:space="preserve">.</w:t>
      </w:r>
    </w:p>
    <w:p>
      <w:pPr>
        <w:pStyle w:val="BodyText"/>
      </w:pPr>
      <w:r>
        <w:t xml:space="preserve">Both readings are true and both belong in the record. The layer beats the permutation null decisively,</w:t>
      </w:r>
      <w:r>
        <w:t xml:space="preserve"> </w:t>
      </w:r>
      <w:r>
        <w:t xml:space="preserve">so its output depends on the compound and is not memorisation: drugs whose structure appears nowhere</w:t>
      </w:r>
      <w:r>
        <w:t xml:space="preserve"> </w:t>
      </w:r>
      <w:r>
        <w:t xml:space="preserve">in training score much as drugs that do, 0.3519 against 0.3934. It does not beat the frequency null,</w:t>
      </w:r>
      <w:r>
        <w:t xml:space="preserve"> </w:t>
      </w:r>
      <w:r>
        <w:t xml:space="preserve">because pain, depression and psychosis account for most approved CNS indications and a constant answer</w:t>
      </w:r>
      <w:r>
        <w:t xml:space="preserve"> </w:t>
      </w:r>
      <w:r>
        <w:t xml:space="preserve">naming those three is right about 65 per cent of the time.</w:t>
      </w:r>
    </w:p>
    <w:p>
      <w:pPr>
        <w:pStyle w:val="BodyText"/>
      </w:pPr>
      <w:r>
        <w:t xml:space="preserve">Removing the reporting threshold and judging the ranking alone raises the never-seen figure from</w:t>
      </w:r>
      <w:r>
        <w:t xml:space="preserve"> </w:t>
      </w:r>
      <w:r>
        <w:t xml:space="preserve">0.3519 to</w:t>
      </w:r>
      <w:r>
        <w:t xml:space="preserve"> </w:t>
      </w:r>
      <w:r>
        <w:rPr>
          <w:b/>
          <w:bCs/>
        </w:rPr>
        <w:t xml:space="preserve">0.4506</w:t>
      </w:r>
      <w:r>
        <w:t xml:space="preserve">, which locates a substantial part of the gap in the decision to stay silent</w:t>
      </w:r>
      <w:r>
        <w:t xml:space="preserve"> </w:t>
      </w:r>
      <w:r>
        <w:t xml:space="preserve">rather than in the ranking.</w:t>
      </w:r>
    </w:p>
    <w:p>
      <w:pPr>
        <w:pStyle w:val="BodyText"/>
      </w:pPr>
      <w:r>
        <w:rPr>
          <w:b/>
          <w:bCs/>
        </w:rPr>
        <w:t xml:space="preserve">H9: on the two metrics a constant predictor cannot pass, the layer beats chance.</w:t>
      </w:r>
      <w:r>
        <w:t xml:space="preserve"> </w:t>
      </w:r>
      <w:r>
        <w:t xml:space="preserve">Top-3 accuracy</w:t>
      </w:r>
      <w:r>
        <w:t xml:space="preserve"> </w:t>
      </w:r>
      <w:r>
        <w:t xml:space="preserve">against a frequency null is the wrong comparison, because that null answers with the same three</w:t>
      </w:r>
      <w:r>
        <w:t xml:space="preserve"> </w:t>
      </w:r>
      <w:r>
        <w:t xml:space="preserve">conditions for every compound and cannot rank one molecule against another, which is the only thing a</w:t>
      </w:r>
      <w:r>
        <w:t xml:space="preserve"> </w:t>
      </w:r>
      <w:r>
        <w:t xml:space="preserve">triage tool does. Two metrics immune to that were 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inversion/results/H9_disease_discrimination*.csv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per-indication AUROC 0.6158</w:t>
      </w:r>
      <w:r>
        <w:t xml:space="preserve">, where a constant predictor scores 0.500 by construction</w:t>
      </w:r>
      <w:r>
        <w:t xml:space="preserve"> </w:t>
      </w:r>
      <w:r>
        <w:t xml:space="preserve">whatever its top-k accuracy. The layer beats chance on</w:t>
      </w:r>
      <w:r>
        <w:t xml:space="preserve"> </w:t>
      </w:r>
      <w:r>
        <w:rPr>
          <w:b/>
          <w:bCs/>
        </w:rPr>
        <w:t xml:space="preserve">7 of 9</w:t>
      </w:r>
      <w:r>
        <w:t xml:space="preserve"> </w:t>
      </w:r>
      <w:r>
        <w:t xml:space="preserve">indications.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Macro-averaged top-3 recall 0.3583 against 0.3333</w:t>
      </w:r>
      <w:r>
        <w:t xml:space="preserve">, averaging per indication so that naming only</w:t>
      </w:r>
      <w:r>
        <w:t xml:space="preserve"> </w:t>
      </w:r>
      <w:r>
        <w:t xml:space="preserve">the common conditions cannot carry it.</w:t>
      </w:r>
    </w:p>
    <w:p>
      <w:pPr>
        <w:pStyle w:val="FirstParagraph"/>
      </w:pPr>
      <w:r>
        <w:t xml:space="preserve">The spread matters more than the mean: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/ anxiety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Psychosis / schizophrenia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Alzheimer’s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Parkinson’s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/ wakefulness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Epilepsy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0.4898</w:t>
            </w:r>
          </w:p>
        </w:tc>
      </w:tr>
    </w:tbl>
    <w:p>
      <w:pPr>
        <w:pStyle w:val="BodyText"/>
      </w:pPr>
      <w:r>
        <w:t xml:space="preserve">The layer responds to the compound decisively for depression and psychosis, marginally for ADHD at</w:t>
      </w:r>
      <w:r>
        <w:t xml:space="preserve"> </w:t>
      </w:r>
      <w:r>
        <w:t xml:space="preserve">0.5006, and not at all for sleep and epilepsy, both at or just below chance. Publishing the mean</w:t>
      </w:r>
      <w:r>
        <w:t xml:space="preserve"> </w:t>
      </w:r>
      <w:r>
        <w:t xml:space="preserve">without this table would conceal that two of the nine conditions are not being predicted at all.</w:t>
      </w:r>
    </w:p>
    <w:p>
      <w:pPr>
        <w:pStyle w:val="BodyText"/>
      </w:pPr>
      <w:r>
        <w:t xml:space="preserve">Epilepsy is the informative failure, and Chapter 5 explains it: most approved antiepileptics are</w:t>
      </w:r>
      <w:r>
        <w:t xml:space="preserve"> </w:t>
      </w:r>
      <w:r>
        <w:t xml:space="preserve">small, simple and low-affinity, precisely the chemistry that sits below a strict cut, and the</w:t>
      </w:r>
      <w:r>
        <w:t xml:space="preserve"> </w:t>
      </w:r>
      <w:r>
        <w:t xml:space="preserve">endpoints that would carry them are among the six firing for fewer than half their own actives.</w:t>
      </w:r>
    </w:p>
    <w:bookmarkEnd w:id="16"/>
    <w:bookmarkStart w:id="17" w:name="silence-and-the-reporting-threshold"/>
    <w:p>
      <w:pPr>
        <w:pStyle w:val="Heading2"/>
      </w:pPr>
      <w:r>
        <w:t xml:space="preserve">7.8 Silence, and the reporting threshold</w:t>
      </w:r>
    </w:p>
    <w:p>
      <w:pPr>
        <w:pStyle w:val="FirstParagraph"/>
      </w:pPr>
      <w:r>
        <w:t xml:space="preserve">Below a gated disease score of</w:t>
      </w:r>
      <w:r>
        <w:t xml:space="preserve"> </w:t>
      </w:r>
      <w:r>
        <w:rPr>
          <w:b/>
          <w:bCs/>
        </w:rPr>
        <w:t xml:space="preserve">0.30</w:t>
      </w:r>
      <w:r>
        <w:t xml:space="preserve"> </w:t>
      </w:r>
      <w:r>
        <w:t xml:space="preserve">nothing is reported. Silence means no modelled mechanism</w:t>
      </w:r>
      <w:r>
        <w:t xml:space="preserve"> </w:t>
      </w:r>
      <w:r>
        <w:t xml:space="preserve">cleared its threshold. It is not a claim of inactivity, and Chapter 4 gives the number that makes it</w:t>
      </w:r>
      <w:r>
        <w:t xml:space="preserve"> </w:t>
      </w:r>
      <w:r>
        <w:t xml:space="preserve">interpretable: the recall the panel achieves at that compound’s distance from training chemistry.</w:t>
      </w:r>
    </w:p>
    <w:p>
      <w:pPr>
        <w:pStyle w:val="BodyText"/>
      </w:pPr>
      <w:r>
        <w:t xml:space="preserve">Two measured rates bound what the reporting rule does. A user-visible finding is returned for</w:t>
      </w:r>
      <w:r>
        <w:t xml:space="preserve"> </w:t>
      </w:r>
      <w:r>
        <w:rPr>
          <w:b/>
          <w:bCs/>
        </w:rPr>
        <w:t xml:space="preserve">7.17 per cent</w:t>
      </w:r>
      <w:r>
        <w:t xml:space="preserve"> </w:t>
      </w:r>
      <w:r>
        <w:t xml:space="preserve">of random chemistry and</w:t>
      </w:r>
      <w:r>
        <w:t xml:space="preserve"> </w:t>
      </w:r>
      <w:r>
        <w:rPr>
          <w:b/>
          <w:bCs/>
        </w:rPr>
        <w:t xml:space="preserve">51.5 per cent</w:t>
      </w:r>
      <w:r>
        <w:t xml:space="preserve"> </w:t>
      </w:r>
      <w:r>
        <w:t xml:space="preserve">of approved drugs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). The first is the false-lead rate a further expansion</w:t>
      </w:r>
      <w:r>
        <w:t xml:space="preserve"> </w:t>
      </w:r>
      <w:r>
        <w:t xml:space="preserve">of the panel would have to beat; the second says the layer stays silent on about half of a set of</w:t>
      </w:r>
      <w:r>
        <w:t xml:space="preserve"> </w:t>
      </w:r>
      <w:r>
        <w:t xml:space="preserve">compounds that are, by construction, pharmacologically active somewhere.</w:t>
      </w:r>
    </w:p>
    <w:bookmarkEnd w:id="17"/>
    <w:bookmarkStart w:id="18" w:name="Xb087c5c14e69853a450f7d574d68e94f917cce3"/>
    <w:p>
      <w:pPr>
        <w:pStyle w:val="Heading2"/>
      </w:pPr>
      <w:r>
        <w:t xml:space="preserve">7.9 What this chapter establishes, honestly summarised</w:t>
      </w:r>
    </w:p>
    <w:p>
      <w:pPr>
        <w:pStyle w:val="FirstParagraph"/>
      </w:pPr>
      <w:r>
        <w:t xml:space="preserve">The gating and disease layer is the part of the system with the weakest claims, and stating them</w:t>
      </w:r>
      <w:r>
        <w:t xml:space="preserve"> </w:t>
      </w:r>
      <w:r>
        <w:t xml:space="preserve">precisely is more useful than defending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gating works as a filter and cannot work as a discriminator.</w:t>
      </w:r>
      <w:r>
        <w:t xml:space="preserve"> </w:t>
      </w:r>
      <w:r>
        <w:t xml:space="preserve">Refuted by construction</w:t>
      </w:r>
      <w:r>
        <w:t xml:space="preserve"> </w:t>
      </w:r>
      <w:r>
        <w:t xml:space="preserve">for the 14 non-peripheral conditions; the exemption of migraine and multiple sclerosis is a</w:t>
      </w:r>
      <w:r>
        <w:t xml:space="preserve"> </w:t>
      </w:r>
      <w:r>
        <w:t xml:space="preserve">qualification the project has not stated.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curated edge weights carry no measurable information.</w:t>
      </w:r>
      <w:r>
        <w:t xml:space="preserve"> </w:t>
      </w:r>
      <w:r>
        <w:t xml:space="preserve">Uniform weights change roughly 3</w:t>
      </w:r>
      <w:r>
        <w:t xml:space="preserve"> </w:t>
      </w:r>
      <w:r>
        <w:t xml:space="preserve">answers in 7,008. The graph’s content is its topology.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layer carries real information about mechanism</w:t>
      </w:r>
      <w:r>
        <w:t xml:space="preserve">, at 0.7901 top-3 accuracy against a</w:t>
      </w:r>
      <w:r>
        <w:t xml:space="preserve"> </w:t>
      </w:r>
      <w:r>
        <w:t xml:space="preserve">permutation null of 0.1625 under the project’s own 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ranks conditions better than chance for most of them and not for all</w:t>
      </w:r>
      <w:r>
        <w:t xml:space="preserve">, at a mean</w:t>
      </w:r>
      <w:r>
        <w:t xml:space="preserve"> </w:t>
      </w:r>
      <w:r>
        <w:t xml:space="preserve">per-indication AUROC of 0.6158, from 0.7981 for depression down to 0.4898 for epilepsy.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 not predict indication</w:t>
      </w:r>
      <w:r>
        <w:t xml:space="preserve">, does not beat a constant answer on top-3 accuracy, and is</w:t>
      </w:r>
      <w:r>
        <w:t xml:space="preserve"> </w:t>
      </w:r>
      <w:r>
        <w:t xml:space="preserve">correctly described as a route from a mechanism to the conditions it touches.</w:t>
      </w:r>
    </w:p>
    <w:p>
      <w:pPr>
        <w:pStyle w:val="FirstParagraph"/>
      </w:pPr>
      <w:r>
        <w:t xml:space="preserve">The maximum-not-sum rule is the one component of this chapter whose stated justification survived</w:t>
      </w:r>
      <w:r>
        <w:t xml:space="preserve"> </w:t>
      </w:r>
      <w:r>
        <w:t xml:space="preserve">testing, and it survived because H8 supplied the evidence for it: 37 firing targets spanning 16</w:t>
      </w:r>
      <w:r>
        <w:t xml:space="preserve"> </w:t>
      </w:r>
      <w:r>
        <w:t xml:space="preserve">independent directions, with five homologous pairs above φ = 0.5.</w:t>
      </w:r>
    </w:p>
    <w:bookmarkEnd w:id="18"/>
    <w:bookmarkStart w:id="19" w:name="a-note-on-what-changed-under-re-running"/>
    <w:p>
      <w:pPr>
        <w:pStyle w:val="Heading2"/>
      </w:pPr>
      <w:r>
        <w:t xml:space="preserve">7.10 A note on what changed under re-running</w:t>
      </w:r>
    </w:p>
    <w:p>
      <w:pPr>
        <w:pStyle w:val="FirstParagraph"/>
      </w:pPr>
      <w:r>
        <w:t xml:space="preserve">The falsification suite was re-run on 29 and 30 August 2026, after Chapters 1 to 6 of this thesis were</w:t>
      </w:r>
      <w:r>
        <w:t xml:space="preserve"> </w:t>
      </w:r>
      <w:r>
        <w:t xml:space="preserve">drafted, and four figures moved. They are recorded here because a thesis that quotes a suite designed</w:t>
      </w:r>
      <w:r>
        <w:t xml:space="preserve"> </w:t>
      </w:r>
      <w:r>
        <w:t xml:space="preserve">to be re-runnable should say what re-running it did.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 on non-CNS 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 mean per-indication 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 macro-averaged top-3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 targets firing across approved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</w:t>
            </w:r>
          </w:p>
        </w:tc>
      </w:tr>
    </w:tbl>
    <w:p>
      <w:pPr>
        <w:pStyle w:val="BodyText"/>
      </w:pPr>
      <w:r>
        <w:t xml:space="preserve">The direction of the specificity change looks alarming: the false-positive rate on non-CNS chemistry</w:t>
      </w:r>
      <w:r>
        <w:t xml:space="preserve"> </w:t>
      </w:r>
      <w:r>
        <w:t xml:space="preserve">rose from 0.051 to 0.075, and H8’s user-visible finding rate on random chemistry rose from 0.0467 to</w:t>
      </w:r>
      <w:r>
        <w:t xml:space="preserve"> </w:t>
      </w:r>
      <w:r>
        <w:t xml:space="preserve">0.0717 over the same period.</w:t>
      </w:r>
      <w:r>
        <w:t xml:space="preserve"> </w:t>
      </w:r>
      <w:r>
        <w:rPr>
          <w:b/>
          <w:bCs/>
        </w:rPr>
        <w:t xml:space="preserve">It has been traced, and the system did not become less specific. The</w:t>
      </w:r>
      <w:r>
        <w:rPr>
          <w:b/>
          <w:bCs/>
        </w:rPr>
        <w:t xml:space="preserve"> </w:t>
      </w:r>
      <w:r>
        <w:rPr>
          <w:b/>
          <w:bCs/>
        </w:rPr>
        <w:t xml:space="preserve">old figure was inflated by a false-negative bug.</w:t>
      </w:r>
    </w:p>
    <w:p>
      <w:pPr>
        <w:pStyle w:val="BodyText"/>
      </w:pPr>
      <w:r>
        <w:rPr>
          <w:rStyle w:val="VerbatimChar"/>
        </w:rPr>
        <w:t xml:space="preserve">models_rf/endpoint_context.json</w:t>
      </w:r>
      <w:r>
        <w:t xml:space="preserve"> </w:t>
      </w:r>
      <w:r>
        <w:t xml:space="preserve">supplies the base rate each core classifier’s engagement signal is</w:t>
      </w:r>
      <w:r>
        <w:t xml:space="preserve"> </w:t>
      </w:r>
      <w:r>
        <w:t xml:space="preserve">computed against. It had been built before the neutralisation retrain, and every base rate except</w:t>
      </w:r>
      <w:r>
        <w:t xml:space="preserve"> </w:t>
      </w:r>
      <w:r>
        <w:t xml:space="preserve">the barrier model’s was too high. All eight have since been corrected: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Stale 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-0.1809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Because engagement is the enrichment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an inflated base rate mechanically</w:t>
      </w:r>
      <w:r>
        <w:rPr>
          <w:b/>
          <w:bCs/>
        </w:rPr>
        <w:t xml:space="preserve"> </w:t>
      </w:r>
      <w:r>
        <w:rPr>
          <w:b/>
          <w:bCs/>
        </w:rPr>
        <w:t xml:space="preserve">suppresses real signal</w:t>
      </w:r>
      <w:r>
        <w:t xml:space="preserve">. The specificity run of 29 August is the first to use correct base rates, so</w:t>
      </w:r>
      <w:r>
        <w:t xml:space="preserve"> </w:t>
      </w:r>
      <w:r>
        <w:t xml:space="preserve">0.949 was measured by a system that was under-reporting and 0.925 is the honest figure.</w:t>
      </w:r>
    </w:p>
    <w:p>
      <w:pPr>
        <w:pStyle w:val="BodyText"/>
      </w:pPr>
      <w:r>
        <w:t xml:space="preserve">The arithmetic reproduces exactly. Comparing the two prediction files, the barrier probability, the</w:t>
      </w:r>
      <w:r>
        <w:t xml:space="preserve"> </w:t>
      </w:r>
      <w:r>
        <w:t xml:space="preserve">hERG probability and the applicability-domain distance are</w:t>
      </w:r>
      <w:r>
        <w:t xml:space="preserve"> </w:t>
      </w:r>
      <w:r>
        <w:rPr>
          <w:b/>
          <w:bCs/>
        </w:rPr>
        <w:t xml:space="preserve">identical on all 1,000 compounds</w:t>
      </w:r>
      <w:r>
        <w:t xml:space="preserve">, and</w:t>
      </w:r>
      <w:r>
        <w:t xml:space="preserve"> </w:t>
      </w:r>
      <w:r>
        <w:t xml:space="preserve">only the disease score moved, on 373 of them, 312 upward with a median rise of 0.06. Of the 24</w:t>
      </w:r>
      <w:r>
        <w:t xml:space="preserve"> </w:t>
      </w:r>
      <w:r>
        <w:t xml:space="preserve">compounds that newly fire,</w:t>
      </w:r>
      <w:r>
        <w:t xml:space="preserve"> </w:t>
      </w:r>
      <w:r>
        <w:rPr>
          <w:b/>
          <w:bCs/>
        </w:rPr>
        <w:t xml:space="preserve">20 are explained by the MAO-B correction alone</w:t>
      </w:r>
      <w:r>
        <w:t xml:space="preserve">, MAO-B being the</w:t>
      </w:r>
      <w:r>
        <w:t xml:space="preserve"> </w:t>
      </w:r>
      <w:r>
        <w:t xml:space="preserve">weight-1.0 driver of Parkinson’s disease in the graph, which is why 20 of the 24 new false positives</w:t>
      </w:r>
      <w:r>
        <w:t xml:space="preserve"> </w:t>
      </w:r>
      <w:r>
        <w:t xml:space="preserve">are assigned to that one condition.</w:t>
      </w:r>
    </w:p>
    <w:p>
      <w:pPr>
        <w:pStyle w:val="BodyText"/>
      </w:pPr>
      <w:r>
        <w:t xml:space="preserve">Taking stilbene as the worked case: its MAO-B calibrated probability is 0.7363 and its barrier</w:t>
      </w:r>
      <w:r>
        <w:t xml:space="preserve"> </w:t>
      </w:r>
      <w:r>
        <w:t xml:space="preserve">probability 0.8906. Under the stale base rate the enrichment is</w:t>
      </w:r>
      <w:r>
        <w:t xml:space="preserve"> </w:t>
      </w:r>
      <m:oMath>
        <m:r>
          <m:rPr>
            <m:sty m:val="p"/>
          </m:rPr>
          <m:t>(</m:t>
        </m:r>
        <m:r>
          <m:t>0.7363</m:t>
        </m:r>
        <m:r>
          <m:rPr>
            <m:sty m:val="p"/>
          </m:rPr>
          <m:t>−</m:t>
        </m:r>
        <m:r>
          <m:t>0.6750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0.3250</m:t>
        </m:r>
        <m:r>
          <m:rPr>
            <m:sty m:val="p"/>
          </m:rPr>
          <m:t>=</m:t>
        </m:r>
        <m:r>
          <m:t>0.1885</m:t>
        </m:r>
      </m:oMath>
      <w:r>
        <w:t xml:space="preserve">,</w:t>
      </w:r>
      <w:r>
        <w:t xml:space="preserve"> </w:t>
      </w:r>
      <w:r>
        <w:t xml:space="preserve">and gated it gives 0.1679. Under the correct base rate it is</w:t>
      </w:r>
      <w:r>
        <w:t xml:space="preserve"> </w:t>
      </w:r>
      <m:oMath>
        <m:r>
          <m:rPr>
            <m:sty m:val="p"/>
          </m:rPr>
          <m:t>(</m:t>
        </m:r>
        <m:r>
          <m:t>0.7363</m:t>
        </m:r>
        <m:r>
          <m:rPr>
            <m:sty m:val="p"/>
          </m:rPr>
          <m:t>−</m:t>
        </m:r>
        <m:r>
          <m:t>0.5046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0.4954</m:t>
        </m:r>
        <m:r>
          <m:rPr>
            <m:sty m:val="p"/>
          </m:rPr>
          <m:t>=</m:t>
        </m:r>
        <m:r>
          <m:t>0.4676</m:t>
        </m:r>
      </m:oMath>
      <w:r>
        <w:t xml:space="preserve">, and</w:t>
      </w:r>
      <w:r>
        <w:t xml:space="preserve"> </w:t>
      </w:r>
      <w:r>
        <w:t xml:space="preserve">gated 0.4165. The artefact recorded 0.168 before and 0.417 after. One compound, one probability, two</w:t>
      </w:r>
      <w:r>
        <w:t xml:space="preserve"> </w:t>
      </w:r>
      <w:r>
        <w:t xml:space="preserve">base rates.</w:t>
      </w:r>
    </w:p>
    <w:p>
      <w:pPr>
        <w:pStyle w:val="BodyText"/>
      </w:pPr>
      <w:r>
        <w:t xml:space="preserve">Two things follow. The system’s specificity did not degrade, so nothing needs fixing; the number</w:t>
      </w:r>
      <w:r>
        <w:t xml:space="preserve"> </w:t>
      </w:r>
      <w:r>
        <w:t xml:space="preserve">needed correcting, and it has been. And the residual 7.5 per cent should be read with the caveat the</w:t>
      </w:r>
      <w:r>
        <w:t xml:space="preserve"> </w:t>
      </w:r>
      <w:r>
        <w:t xml:space="preserve">artefact already carries: these compounds are presumed inactive because nothing is recorded about</w:t>
      </w:r>
      <w:r>
        <w:t xml:space="preserve"> </w:t>
      </w:r>
      <w:r>
        <w:t xml:space="preserve">them, and several of the new false positives, stilbene and the isothiocyanates among them, belong to</w:t>
      </w:r>
      <w:r>
        <w:t xml:space="preserve"> </w:t>
      </w:r>
      <w:r>
        <w:t xml:space="preserve">chemotypes with genuine reported monoamine oxidase activity. The specificity of 0.925 remains a lower</w:t>
      </w:r>
      <w:r>
        <w:t xml:space="preserve"> </w:t>
      </w:r>
      <w:r>
        <w:t xml:space="preserve">bound, and the correction has made it a more honest one.</w:t>
      </w:r>
    </w:p>
    <w:bookmarkEnd w:id="19"/>
    <w:bookmarkEnd w:id="2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2026-09-16T04:51:43Z</dcterms:created>
  <dcterms:modified xsi:type="dcterms:W3CDTF">2026-09-16T04:51:43Z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