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Both figures are means over 47</w:t>
      </w:r>
      <w:r>
        <w:t xml:space="preserve"> </w:t>
      </w:r>
      <w:r>
        <w:t xml:space="preserve">endpoints and the spread behind them is wide: AUROC ranges from 0.719 at GABA-A to 0.985, and</w:t>
      </w:r>
      <w:r>
        <w:t xml:space="preserve"> </w:t>
      </w:r>
      <w:r>
        <w:t xml:space="preserve">sensitivity from 0.639 at COX-2 to 0.997, so the two means describe the panel and not any particular</w:t>
      </w:r>
      <w:r>
        <w:t xml:space="preserve"> </w:t>
      </w:r>
      <w:r>
        <w:t xml:space="preserve">endpoint. Supplementary Table S1 gives every endpoint separately.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2026-08-25T14:01:05Z</dcterms:created>
  <dcterms:modified xsi:type="dcterms:W3CDTF">2026-08-25T14:01:05Z</dcterms:modified>
</cp:coreProperties>
</file>

<file path=docProps/custom.xml><?xml version="1.0" encoding="utf-8"?>
<Properties xmlns="http://schemas.openxmlformats.org/officeDocument/2006/custom-properties" xmlns:vt="http://schemas.openxmlformats.org/officeDocument/2006/docPropsVTypes"/>
</file>