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c7b81a75f7761703d688a563316ee363ab586c"/>
    <w:p>
      <w:pPr>
        <w:pStyle w:val="Heading1"/>
      </w:pPr>
      <w:r>
        <w:t xml:space="preserve">BrainSafe AI: a calibrated, exposure-gated web server for multi-endpoint prediction of small-molecule action in the human brain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Krishnasalini Gunanathan¹, Raghunatha Sarma¹, Sai Shyam¹, Ramya E. M.¹,</w:t>
      </w:r>
      <w:r>
        <w:t xml:space="preserve"> </w:t>
      </w:r>
      <w:r>
        <w:t xml:space="preserve">Venketesh Sivaramakrishnan¹</w:t>
      </w:r>
    </w:p>
    <w:p>
      <w:pPr>
        <w:pStyle w:val="BodyText"/>
      </w:pPr>
      <w:r>
        <w:t xml:space="preserve">¹Sri Sathya Sai Institute of Higher Learning (SSSIHL), Puttaparthi, Andhra Pradesh 515134, India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Prof. Venketesh Sivaramakrishnan, svenketesh@sssihl.edu.in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BrainSafe AI predicts, from structure alone, how a small molecule may act on the human brain. For a</w:t>
      </w:r>
      <w:r>
        <w:t xml:space="preserve"> </w:t>
      </w:r>
      <w:r>
        <w:t xml:space="preserve">submitted SMILES string or compound name it returns engagement of 54 molecular targets spanning the</w:t>
      </w:r>
      <w:r>
        <w:t xml:space="preserve"> </w:t>
      </w:r>
      <w:r>
        <w:t xml:space="preserve">principal neurodegenerative, psychiatric, neuroinflammatory, analgesic and sleep-related mechanisms,</w:t>
      </w:r>
      <w:r>
        <w:t xml:space="preserve"> </w:t>
      </w:r>
      <w:r>
        <w:t xml:space="preserve">predicted blood-brain barrier penetration, nine ADME and exposure endpoints including a directly</w:t>
      </w:r>
      <w:r>
        <w:t xml:space="preserve"> </w:t>
      </w:r>
      <w:r>
        <w:t xml:space="preserve">modelled unbound brain-to-plasma ratio, and a cardiac safety liability. Every target score is</w:t>
      </w:r>
      <w:r>
        <w:t xml:space="preserve"> </w:t>
      </w:r>
      <w:r>
        <w:t xml:space="preserve">admitted only in proportion to predicted brain exposure, so potency at a target a compound cannot</w:t>
      </w:r>
      <w:r>
        <w:t xml:space="preserve"> </w:t>
      </w:r>
      <w:r>
        <w:t xml:space="preserve">reach contributes nothing, and engaged targets are traced through a curated pathway graph to the</w:t>
      </w:r>
      <w:r>
        <w:t xml:space="preserve"> </w:t>
      </w:r>
      <w:r>
        <w:t xml:space="preserve">conditions those mechanisms touch. The server is built on 75 estimators, 70 deployed, trained on</w:t>
      </w:r>
      <w:r>
        <w:t xml:space="preserve"> </w:t>
      </w:r>
      <w:r>
        <w:t xml:space="preserve">228,200 measured compound-endpoint records from ChEMBL, BindingDB and B3DB. Under scaffold-grouped</w:t>
      </w:r>
      <w:r>
        <w:t xml:space="preserve"> </w:t>
      </w:r>
      <w:r>
        <w:t xml:space="preserve">10-fold cross-validation the measured-label classifiers reach a mean AUROC of 0.925, and expected</w:t>
      </w:r>
      <w:r>
        <w:t xml:space="preserve"> </w:t>
      </w:r>
      <w:r>
        <w:t xml:space="preserve">calibration error falls from 0.080 to 0.015 after isotonic calibration. The binder panel is validated</w:t>
      </w:r>
      <w:r>
        <w:t xml:space="preserve"> </w:t>
      </w:r>
      <w:r>
        <w:t xml:space="preserve">against compounds tested at the same target and found inactive rather than against decoys, reaching a</w:t>
      </w:r>
      <w:r>
        <w:t xml:space="preserve"> </w:t>
      </w:r>
      <w:r>
        <w:t xml:space="preserve">mean AUROC of 0.917. Every prediction carries a calibrated probability, an applicability-domain</w:t>
      </w:r>
      <w:r>
        <w:t xml:space="preserve"> </w:t>
      </w:r>
      <w:r>
        <w:t xml:space="preserve">distance to the nearest measured analogue, and the recall the panel achieves at that distance, which</w:t>
      </w:r>
      <w:r>
        <w:t xml:space="preserve"> </w:t>
      </w:r>
      <w:r>
        <w:t xml:space="preserve">falls from 0.86 for close analogues to 0.16 for a genuinely novel scaffold. Disease-level scores are</w:t>
      </w:r>
      <w:r>
        <w:t xml:space="preserve"> </w:t>
      </w:r>
      <w:r>
        <w:t xml:space="preserve">presented as a route from a mechanism to the conditions it touches, not as an indication prediction.</w:t>
      </w:r>
      <w:r>
        <w:t xml:space="preserve"> </w:t>
      </w:r>
      <w:r>
        <w:t xml:space="preserve">BrainSafe AI is freely available without registration at</w:t>
      </w:r>
      <w:r>
        <w:t xml:space="preserve"> </w:t>
      </w:r>
      <w:r>
        <w:t xml:space="preserve">https://huggingface.co/spaces/Krishnag999/brainsafe-ai, with source code, trained models and every</w:t>
      </w:r>
      <w:r>
        <w:t xml:space="preserve"> </w:t>
      </w:r>
      <w:r>
        <w:t xml:space="preserve">validation artefact at https://github.com/krishna-g-999/brainsafe-ai.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Central nervous system drug discovery fails more often, and later, than any other therapeutic area.</w:t>
      </w:r>
      <w:r>
        <w:t xml:space="preserve"> </w:t>
      </w:r>
      <w:r>
        <w:t xml:space="preserve">Two reasons dominate: a compound potent at its target may never reach the brain, and a compound that</w:t>
      </w:r>
      <w:r>
        <w:t xml:space="preserve"> </w:t>
      </w:r>
      <w:r>
        <w:t xml:space="preserve">reaches the brain may engage more than the target it was designed for. Existing servers address these</w:t>
      </w:r>
      <w:r>
        <w:t xml:space="preserve"> </w:t>
      </w:r>
      <w:r>
        <w:t xml:space="preserve">questions separately. ADMET platforms predict barrier penetration without saying what the compound</w:t>
      </w:r>
      <w:r>
        <w:t xml:space="preserve"> </w:t>
      </w:r>
      <w:r>
        <w:t xml:space="preserve">would do on arrival; target-prediction servers rank probable targets without asking whether the</w:t>
      </w:r>
      <w:r>
        <w:t xml:space="preserve"> </w:t>
      </w:r>
      <w:r>
        <w:t xml:space="preserve">compound can reach them.</w:t>
      </w:r>
    </w:p>
    <w:p>
      <w:pPr>
        <w:pStyle w:val="BodyText"/>
      </w:pPr>
      <w:r>
        <w:t xml:space="preserve">BrainSafe AI answers both in one pass, and couples them: a target score is admitted only in</w:t>
      </w:r>
      <w:r>
        <w:t xml:space="preserve"> </w:t>
      </w:r>
      <w:r>
        <w:t xml:space="preserve">proportion to predicted exposure (Figure 1). It reports what it cannot do as prominently as what it can. Five</w:t>
      </w:r>
      <w:r>
        <w:t xml:space="preserve"> </w:t>
      </w:r>
      <w:r>
        <w:t xml:space="preserve">endpoints were trained, tested and withheld because no threshold separated real ligands from trivial</w:t>
      </w:r>
      <w:r>
        <w:t xml:space="preserve"> </w:t>
      </w:r>
      <w:r>
        <w:t xml:space="preserve">metabolites; four of nine falsification hypotheses were refuted; and the recall achieved on chemistry</w:t>
      </w:r>
      <w:r>
        <w:t xml:space="preserve"> </w:t>
      </w:r>
      <w:r>
        <w:t xml:space="preserve">distant from the training set is reported beside every result rather than left to be discovered.</w:t>
      </w:r>
    </w:p>
    <w:bookmarkEnd w:id="10"/>
    <w:bookmarkStart w:id="11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Training data.</w:t>
      </w:r>
      <w:r>
        <w:t xml:space="preserve"> </w:t>
      </w:r>
      <w:r>
        <w:t xml:space="preserve">Labels are measured experimental values only, never qualitative annotation.</w:t>
      </w:r>
      <w:r>
        <w:t xml:space="preserve"> </w:t>
      </w:r>
      <w:r>
        <w:t xml:space="preserve">Potency data are ChEMBL pChEMBL values augmented with BindingDB affinities pooled at compound level;</w:t>
      </w:r>
      <w:r>
        <w:t xml:space="preserve"> </w:t>
      </w:r>
      <w:r>
        <w:t xml:space="preserve">blood-brain barrier labels come from B3DB augmented with FDA-curated approved drugs; the nine ADME</w:t>
      </w:r>
      <w:r>
        <w:t xml:space="preserve"> </w:t>
      </w:r>
      <w:r>
        <w:t xml:space="preserve">endpoints use measured sets from Therapeutics Data Commons, MoleculeNet, B3DB and ChEMBL. The panel</w:t>
      </w:r>
      <w:r>
        <w:t xml:space="preserve"> </w:t>
      </w:r>
      <w:r>
        <w:t xml:space="preserve">holds 228,200 measured compound-endpoint records over 169,341 unique compounds keyed by the InChIKey</w:t>
      </w:r>
      <w:r>
        <w:t xml:space="preserve"> </w:t>
      </w:r>
      <w:r>
        <w:t xml:space="preserve">of the desalted parent. Each endpoint is trained on its own measured set alone; across the deployed</w:t>
      </w:r>
      <w:r>
        <w:t xml:space="preserve"> </w:t>
      </w:r>
      <w:r>
        <w:t xml:space="preserve">panel those sets hold a median of 3,789 rows and span 387 compounds (KEAP1) to 10,276 (hERG).</w:t>
      </w:r>
    </w:p>
    <w:p>
      <w:pPr>
        <w:pStyle w:val="BodyText"/>
      </w:pPr>
      <w:r>
        <w:rPr>
          <w:b/>
          <w:bCs/>
        </w:rPr>
        <w:t xml:space="preserve">Recovery of the negative class.</w:t>
      </w:r>
      <w:r>
        <w:t xml:space="preserve"> </w:t>
      </w:r>
      <w:r>
        <w:t xml:space="preserve">A compound assayed and found inactive is often deposited only as</w:t>
      </w:r>
      <w:r>
        <w:t xml:space="preserve"> </w:t>
      </w:r>
      <w:r>
        <w:t xml:space="preserve">a censored bound, and the conventional query discards exactly those rows, leaving a training set of</w:t>
      </w:r>
      <w:r>
        <w:t xml:space="preserve"> </w:t>
      </w:r>
      <w:r>
        <w:t xml:space="preserve">actives against synthetic decoys. A bound settles a label when the whole interval it defines falls on</w:t>
      </w:r>
      <w:r>
        <w:t xml:space="preserve"> </w:t>
      </w:r>
      <w:r>
        <w:t xml:space="preserve">one side of the activity cut, and is discarded as undecidable when it spans both. Recovering these</w:t>
      </w:r>
      <w:r>
        <w:t xml:space="preserve"> </w:t>
      </w:r>
      <w:r>
        <w:t xml:space="preserve">returned experimentally tested non-binders to 57 endpoints.</w:t>
      </w:r>
    </w:p>
    <w:p>
      <w:pPr>
        <w:pStyle w:val="BodyText"/>
      </w:pPr>
      <w:r>
        <w:rPr>
          <w:b/>
          <w:bCs/>
        </w:rPr>
        <w:t xml:space="preserve">Representation.</w:t>
      </w:r>
      <w:r>
        <w:t xml:space="preserve"> </w:t>
      </w:r>
      <w:r>
        <w:t xml:space="preserve">Each compound is a 1,036-column vector: a 1,024-bit folded ECFP-4 fingerprint and</w:t>
      </w:r>
      <w:r>
        <w:t xml:space="preserve"> </w:t>
      </w:r>
      <w:r>
        <w:t xml:space="preserve">twelve physicochemical descriptors. Structures are reduced to the largest organic fragment and</w:t>
      </w:r>
      <w:r>
        <w:t xml:space="preserve"> </w:t>
      </w:r>
      <w:r>
        <w:t xml:space="preserve">neutralised. Neutralisation is part of the representation rather than a detail of it, because a drug</w:t>
      </w:r>
      <w:r>
        <w:t xml:space="preserve"> </w:t>
      </w:r>
      <w:r>
        <w:t xml:space="preserve">and its salt must give the same answer: removing a counter-ion without it leaves the parent carrying</w:t>
      </w:r>
      <w:r>
        <w:t xml:space="preserve"> </w:t>
      </w:r>
      <w:r>
        <w:t xml:space="preserve">the salt’s charge, and haloperidol hydrochloride then scored a barrier probability of 0.613 against</w:t>
      </w:r>
      <w:r>
        <w:t xml:space="preserve"> </w:t>
      </w:r>
      <w:r>
        <w:t xml:space="preserve">0.993 for the free base. A permanent charge is retained, because a quaternary ammonium’s charge is</w:t>
      </w:r>
      <w:r>
        <w:t xml:space="preserve"> </w:t>
      </w:r>
      <w:r>
        <w:t xml:space="preserve">precisely what prevents it crossing. Chirality is excluded, so two enantiomers give identical rows;</w:t>
      </w:r>
      <w:r>
        <w:t xml:space="preserve"> </w:t>
      </w:r>
      <w:r>
        <w:t xml:space="preserve">rows identical in feature space are collapsed before any split. Of 228,198 training structures, 40.8</w:t>
      </w:r>
      <w:r>
        <w:t xml:space="preserve"> </w:t>
      </w:r>
      <w:r>
        <w:t xml:space="preserve">per cent carry a stereocentre, but where one skeleton appears as several stereoisomers measured at</w:t>
      </w:r>
      <w:r>
        <w:t xml:space="preserve"> </w:t>
      </w:r>
      <w:r>
        <w:t xml:space="preserve">the same endpoint the labels agree in 94.6 per cent of 8,013 cases, so the share of the panel where</w:t>
      </w:r>
      <w:r>
        <w:t xml:space="preserve"> </w:t>
      </w:r>
      <w:r>
        <w:t xml:space="preserve">chirality could change a class call is 0.19 per cent.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A random forest is fitted per endpoint. That choice was made on a like-for-like</w:t>
      </w:r>
      <w:r>
        <w:t xml:space="preserve"> </w:t>
      </w:r>
      <w:r>
        <w:t xml:space="preserve">comparison over thirteen core endpoints against XGBoost, histogram gradient boosting, L2 logistic</w:t>
      </w:r>
      <w:r>
        <w:t xml:space="preserve"> </w:t>
      </w:r>
      <w:r>
        <w:t xml:space="preserve">regression and a nearest-neighbour read-across, and against a graph neural network on four of them;</w:t>
      </w:r>
      <w:r>
        <w:t xml:space="preserve"> </w:t>
      </w:r>
      <w:r>
        <w:t xml:space="preserve">the random forest won every endpoint tested. Classifiers are isotonically calibrated on out-of-fold</w:t>
      </w:r>
      <w:r>
        <w:t xml:space="preserve"> </w:t>
      </w:r>
      <w:r>
        <w:t xml:space="preserve">predictions, so no compound contributes to the calibrator that scores it. Binder models use Platt</w:t>
      </w:r>
      <w:r>
        <w:t xml:space="preserve"> </w:t>
      </w:r>
      <w:r>
        <w:t xml:space="preserve">scaling, the withheld set for one target often being too small to fit a step function.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background library is partitioned into three disjoint pools by a stable hash of</w:t>
      </w:r>
      <w:r>
        <w:t xml:space="preserve"> </w:t>
      </w:r>
      <w:r>
        <w:t xml:space="preserve">the structure: one supplies decoys, one sets thresholds, one measures the false-positive rate.</w:t>
      </w:r>
      <w:r>
        <w:t xml:space="preserve"> </w:t>
      </w:r>
      <w:r>
        <w:t xml:space="preserve">Choosing a threshold as a quantile of a sample and then measuring the rate on that same sample</w:t>
      </w:r>
      <w:r>
        <w:t xml:space="preserve"> </w:t>
      </w:r>
      <w:r>
        <w:t xml:space="preserve">restates the target rather than testing it.</w:t>
      </w:r>
    </w:p>
    <w:p>
      <w:pPr>
        <w:pStyle w:val="BodyText"/>
      </w:pPr>
      <w:r>
        <w:rPr>
          <w:b/>
          <w:bCs/>
        </w:rPr>
        <w:t xml:space="preserve">Exposure gating and the disease layer.</w:t>
      </w:r>
      <w:r>
        <w:t xml:space="preserve"> </w:t>
      </w:r>
      <w:r>
        <w:t xml:space="preserve">A target score is admitted in proportion to predicted</w:t>
      </w:r>
      <w:r>
        <w:t xml:space="preserve"> </w:t>
      </w:r>
      <w:r>
        <w:t xml:space="preserve">barrier penetration. Engaged targets are traced through a curated graph anchored to KEGG, Reactome</w:t>
      </w:r>
      <w:r>
        <w:t xml:space="preserve"> </w:t>
      </w:r>
      <w:r>
        <w:t xml:space="preserve">and IUPHAR to the conditions they touch. The graph’s edge weights were ablated and carry no</w:t>
      </w:r>
      <w:r>
        <w:t xml:space="preserve"> </w:t>
      </w:r>
      <w:r>
        <w:t xml:space="preserve">predictive information beyond the topology (curated 0.7901, uniform 0.7897, permuted 0.7874), so they</w:t>
      </w:r>
      <w:r>
        <w:t xml:space="preserve"> </w:t>
      </w:r>
      <w:r>
        <w:t xml:space="preserve">are reported as structure rather than as tuned parameters.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Cross-validation.</w:t>
      </w:r>
      <w:r>
        <w:t xml:space="preserve"> </w:t>
      </w:r>
      <w:r>
        <w:t xml:space="preserve">The panel and its per-endpoint performance are shown in Figure 2. Under random 10-fold cross-validation the measured-label classifiers reach a</w:t>
      </w:r>
      <w:r>
        <w:t xml:space="preserve"> </w:t>
      </w:r>
      <w:r>
        <w:t xml:space="preserve">mean AUROC of 0.958 (0.899 to 0.976); under a scaffold-grouped split that withholds entire structural</w:t>
      </w:r>
      <w:r>
        <w:t xml:space="preserve"> </w:t>
      </w:r>
      <w:r>
        <w:t xml:space="preserve">classes, 0.925 (0.878 to 0.965). Expected calibration error falls from 0.080 to 0.015 after isotonic</w:t>
      </w:r>
      <w:r>
        <w:t xml:space="preserve"> </w:t>
      </w:r>
      <w:r>
        <w:t xml:space="preserve">calibration, and conformal prediction on the eight core classifiers achieves empirical coverage of</w:t>
      </w:r>
      <w:r>
        <w:t xml:space="preserve"> </w:t>
      </w:r>
      <w:r>
        <w:t xml:space="preserve">0.89 to 0.92 against a 0.90 target (Figure 3A).</w:t>
      </w:r>
    </w:p>
    <w:p>
      <w:pPr>
        <w:pStyle w:val="BodyText"/>
      </w:pPr>
      <w:r>
        <w:rPr>
          <w:b/>
          <w:bCs/>
        </w:rPr>
        <w:t xml:space="preserve">The binder panel.</w:t>
      </w:r>
      <w:r>
        <w:t xml:space="preserve"> </w:t>
      </w:r>
      <w:r>
        <w:t xml:space="preserve">The 52 binder classifiers are validated not against the decoys used to train</w:t>
      </w:r>
      <w:r>
        <w:t xml:space="preserve"> </w:t>
      </w:r>
      <w:r>
        <w:t xml:space="preserve">them but against compounds experimentally tested at the same target and found inactive. Across the 47</w:t>
      </w:r>
      <w:r>
        <w:t xml:space="preserve"> </w:t>
      </w:r>
      <w:r>
        <w:t xml:space="preserve">deployed they reach a mean AUROC of 0.917 and a mean sensitivity of 0.898 on actives withheld by</w:t>
      </w:r>
      <w:r>
        <w:t xml:space="preserve"> </w:t>
      </w:r>
      <w:r>
        <w:t xml:space="preserve">scaffold. Both are means over 47 endpoints and the spread is wide: AUROC ranges from 0.719 at GABA-A</w:t>
      </w:r>
      <w:r>
        <w:t xml:space="preserve"> </w:t>
      </w:r>
      <w:r>
        <w:t xml:space="preserve">to 0.985, sensitivity from 0.639 at COX-2 to 0.997. Five endpoints were withdrawn for firing on</w:t>
      </w:r>
      <w:r>
        <w:t xml:space="preserve"> </w:t>
      </w:r>
      <w:r>
        <w:t xml:space="preserve">trivial metabolites at every usable threshold.</w:t>
      </w:r>
    </w:p>
    <w:p>
      <w:pPr>
        <w:pStyle w:val="BodyText"/>
      </w:pPr>
      <w:r>
        <w:rPr>
          <w:b/>
          <w:bCs/>
        </w:rPr>
        <w:t xml:space="preserve">Leakage and null models.</w:t>
      </w:r>
      <w:r>
        <w:t xml:space="preserve"> </w:t>
      </w:r>
      <w:r>
        <w:t xml:space="preserve">On the deduplicated matrix the pipeline fits, no InChIKey, no feature</w:t>
      </w:r>
      <w:r>
        <w:t xml:space="preserve"> </w:t>
      </w:r>
      <w:r>
        <w:t xml:space="preserve">vector and no scaffold appears on both sides of any fold. With labels permuted the same pipeline</w:t>
      </w:r>
      <w:r>
        <w:t xml:space="preserve"> </w:t>
      </w:r>
      <w:r>
        <w:t xml:space="preserve">returns a mean AUROC of 0.4938 (random) and 0.4921 (scaffold).</w:t>
      </w:r>
    </w:p>
    <w:p>
      <w:pPr>
        <w:pStyle w:val="BodyText"/>
      </w:pPr>
      <w:r>
        <w:rPr>
          <w:b/>
          <w:bCs/>
        </w:rPr>
        <w:t xml:space="preserve">External and prospective validation.</w:t>
      </w:r>
      <w:r>
        <w:t xml:space="preserve"> </w:t>
      </w:r>
      <w:r>
        <w:t xml:space="preserve">The barrier model was tested on FDA-curated approved drugs</w:t>
      </w:r>
      <w:r>
        <w:t xml:space="preserve"> </w:t>
      </w:r>
      <w:r>
        <w:t xml:space="preserve">absent from B3DB by InChIKey: AUROC 0.764 on all 306, and 0.793 on the 241 also distinguishable from</w:t>
      </w:r>
      <w:r>
        <w:t xml:space="preserve"> </w:t>
      </w:r>
      <w:r>
        <w:t xml:space="preserve">training in feature space. For the target panel no external set of comparable size exists, because</w:t>
      </w:r>
      <w:r>
        <w:t xml:space="preserve"> </w:t>
      </w:r>
      <w:r>
        <w:t xml:space="preserve">for most of these targets the public measured chemistry is the training set. Two kinds of</w:t>
      </w:r>
      <w:r>
        <w:t xml:space="preserve"> </w:t>
      </w:r>
      <w:r>
        <w:t xml:space="preserve">independence were therefore constructed, with every model refitted rather than scored. By date: each</w:t>
      </w:r>
      <w:r>
        <w:t xml:space="preserve"> </w:t>
      </w:r>
      <w:r>
        <w:t xml:space="preserve">endpoint refitted on its pre-cutoff rows with its decision threshold also frozen before the cutoff,</w:t>
      </w:r>
      <w:r>
        <w:t xml:space="preserve"> </w:t>
      </w:r>
      <w:r>
        <w:t xml:space="preserve">and tested on compounds first published afterwards; 39 of 47 deployed endpoints qualify, giving</w:t>
      </w:r>
      <w:r>
        <w:t xml:space="preserve"> </w:t>
      </w:r>
      <w:r>
        <w:t xml:space="preserve">45,244 test compounds. By curator: compounds deposited in BindingDB and absent from ChEMBL, withheld</w:t>
      </w:r>
      <w:r>
        <w:t xml:space="preserve"> </w:t>
      </w:r>
      <w:r>
        <w:t xml:space="preserve">entirely (Figure 5).</w:t>
      </w:r>
    </w:p>
    <w:p>
      <w:pPr>
        <w:pStyle w:val="BodyText"/>
      </w:pPr>
      <w:r>
        <w:t xml:space="preserve">Read in aggregate the time split suggests prospective decay, with mean AUROC 0.823 against 0.951 for</w:t>
      </w:r>
      <w:r>
        <w:t xml:space="preserve"> </w:t>
      </w:r>
      <w:r>
        <w:t xml:space="preserve">a size-matched random control. It is not decay. The false-positive rate on background chemistry is</w:t>
      </w:r>
      <w:r>
        <w:t xml:space="preserve"> </w:t>
      </w:r>
      <w:r>
        <w:t xml:space="preserve">unchanged, and the gap closes once test compounds are stratified by maximum Tanimoto similarity to</w:t>
      </w:r>
      <w:r>
        <w:t xml:space="preserve"> </w:t>
      </w:r>
      <w:r>
        <w:t xml:space="preserve">the training actives. A random split of medicinal-chemistry data holds out 83 per cent close</w:t>
      </w:r>
      <w:r>
        <w:t xml:space="preserve"> </w:t>
      </w:r>
      <w:r>
        <w:t xml:space="preserve">analogues of its own training set, because the published record is series; a time split holds out 28</w:t>
      </w:r>
      <w:r>
        <w:t xml:space="preserve"> </w:t>
      </w:r>
      <w:r>
        <w:t xml:space="preserve">per cent chemistry below Tanimoto 0.40. Three test sets built by unrelated rules trace one recall</w:t>
      </w:r>
      <w:r>
        <w:t xml:space="preserve"> </w:t>
      </w:r>
      <w:r>
        <w:t xml:space="preserve">curve: 0.16, 0.55, 0.74 and 0.86 by date across four novelty bands, against 0.12, 0.52, 0.77 and 0.93</w:t>
      </w:r>
      <w:r>
        <w:t xml:space="preserve"> </w:t>
      </w:r>
      <w:r>
        <w:t xml:space="preserve">at random and 0.05, 0.46, 0.83 and 0.90 by curator. Recall is therefore a function of chemical</w:t>
      </w:r>
      <w:r>
        <w:t xml:space="preserve"> </w:t>
      </w:r>
      <w:r>
        <w:t xml:space="preserve">distance rather than of publication date, and the expected recall for a submitted compound is</w:t>
      </w:r>
      <w:r>
        <w:t xml:space="preserve"> </w:t>
      </w:r>
      <w:r>
        <w:t xml:space="preserve">reported at query time.</w:t>
      </w:r>
    </w:p>
    <w:p>
      <w:pPr>
        <w:pStyle w:val="BodyText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One thousand compounds with no recorded activity at any modelled target were scored</w:t>
      </w:r>
      <w:r>
        <w:t xml:space="preserve"> </w:t>
      </w:r>
      <w:r>
        <w:t xml:space="preserve">through the deployed pipeline; 949 returned no actionable disease signal, a specificity of 0.949 (95%</w:t>
      </w:r>
      <w:r>
        <w:t xml:space="preserve"> </w:t>
      </w:r>
      <w:r>
        <w:t xml:space="preserve">CI 0.934 to 0.961). These compounds are presumed inactive because nothing is recorded about them, not</w:t>
      </w:r>
      <w:r>
        <w:t xml:space="preserve"> </w:t>
      </w:r>
      <w:r>
        <w:t xml:space="preserve">proven inactive, so this is a lower bound.</w:t>
      </w:r>
    </w:p>
    <w:p>
      <w:pPr>
        <w:pStyle w:val="BodyText"/>
      </w:pPr>
      <w:r>
        <w:rPr>
          <w:b/>
          <w:bCs/>
        </w:rPr>
        <w:t xml:space="preserve">Adversarial checks and falsification.</w:t>
      </w:r>
      <w:r>
        <w:t xml:space="preserve"> </w:t>
      </w:r>
      <w:r>
        <w:t xml:space="preserve">Six checks were written so that each could fail, and all</w:t>
      </w:r>
      <w:r>
        <w:t xml:space="preserve"> </w:t>
      </w:r>
      <w:r>
        <w:t xml:space="preserve">six pass. The domain-flag check initially failed and passes only after its control set was corrected:</w:t>
      </w:r>
      <w:r>
        <w:t xml:space="preserve"> </w:t>
      </w:r>
      <w:r>
        <w:t xml:space="preserve">28 of the original controls are measured compounds inside the flag’s own reference library, where</w:t>
      </w:r>
      <w:r>
        <w:t xml:space="preserve"> </w:t>
      </w:r>
      <w:r>
        <w:t xml:space="preserve">calling them in domain is truthful rather than a failure. The passing criterion was not moved. Nine</w:t>
      </w:r>
      <w:r>
        <w:t xml:space="preserve"> </w:t>
      </w:r>
      <w:r>
        <w:t xml:space="preserve">falsification hypotheses were tested and four refuted, all reported: the curated edge weights add</w:t>
      </w:r>
      <w:r>
        <w:t xml:space="preserve"> </w:t>
      </w:r>
      <w:r>
        <w:t xml:space="preserve">nothing beyond topology; exposure gating cannot discriminate between diseases, being a filter;</w:t>
      </w:r>
      <w:r>
        <w:t xml:space="preserve"> </w:t>
      </w:r>
      <w:r>
        <w:t xml:space="preserve">silence at a target reflects the operating point rather than a non-discriminative model, every target</w:t>
      </w:r>
      <w:r>
        <w:t xml:space="preserve"> </w:t>
      </w:r>
      <w:r>
        <w:t xml:space="preserve">separating its own actives at AUROC 0.91 or better; and engaged targets are not independent</w:t>
      </w:r>
      <w:r>
        <w:t xml:space="preserve"> </w:t>
      </w:r>
      <w:r>
        <w:t xml:space="preserve">observations, 36 firing targets spanning only 16 independent directions.</w:t>
      </w:r>
    </w:p>
    <w:p>
      <w:pPr>
        <w:pStyle w:val="BodyText"/>
      </w:pPr>
      <w:r>
        <w:rPr>
          <w:b/>
          <w:bCs/>
        </w:rPr>
        <w:t xml:space="preserve">Use case.</w:t>
      </w:r>
      <w:r>
        <w:t xml:space="preserve"> </w:t>
      </w:r>
      <w:r>
        <w:t xml:space="preserve">A worked profile and the silence behaviour are shown in Figure 4. For donepezil the server returns AChE engagement at 1.00 against a training base rate of</w:t>
      </w:r>
      <w:r>
        <w:t xml:space="preserve"> </w:t>
      </w:r>
      <w:r>
        <w:t xml:space="preserve">0.724, barrier penetration 0.991, and Alzheimer’s disease as the top condition at 0.991 with AChE</w:t>
      </w:r>
      <w:r>
        <w:t xml:space="preserve"> </w:t>
      </w:r>
      <w:r>
        <w:t xml:space="preserve">named as the driver. It also returns a hERG probability of 0.734, an enrichment of 0.652 over a 0.236</w:t>
      </w:r>
      <w:r>
        <w:t xml:space="preserve"> </w:t>
      </w:r>
      <w:r>
        <w:t xml:space="preserve">base rate, so the compound that scores highest on the efficacy axis carries a liability a medicinal</w:t>
      </w:r>
      <w:r>
        <w:t xml:space="preserve"> </w:t>
      </w:r>
      <w:r>
        <w:t xml:space="preserve">chemist would need to see. For atenolol, a beta-blocker optimised not to enter the brain, every</w:t>
      </w:r>
      <w:r>
        <w:t xml:space="preserve"> </w:t>
      </w:r>
      <w:r>
        <w:t xml:space="preserve">target probability sits below its base rate and the top condition scores 0.0009, three hundred times</w:t>
      </w:r>
      <w:r>
        <w:t xml:space="preserve"> </w:t>
      </w:r>
      <w:r>
        <w:t xml:space="preserve">below the reporting threshold: the server is correctly silent.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BrainSafe AI couples exposure and engagement in one pass, and reports the confidence of each. Its</w:t>
      </w:r>
      <w:r>
        <w:t xml:space="preserve"> </w:t>
      </w:r>
      <w:r>
        <w:t xml:space="preserve">distinguishing choices are that the negative class is recovered from measurement rather than</w:t>
      </w:r>
      <w:r>
        <w:t xml:space="preserve"> </w:t>
      </w:r>
      <w:r>
        <w:t xml:space="preserve">simulated, that thresholds are measured on a pool disjoint from the one that set them, and that</w:t>
      </w:r>
      <w:r>
        <w:t xml:space="preserve"> </w:t>
      </w:r>
      <w:r>
        <w:t xml:space="preserve">target scores are gated by predicted exposure.</w:t>
      </w:r>
    </w:p>
    <w:p>
      <w:pPr>
        <w:pStyle w:val="BodyText"/>
      </w:pPr>
      <w:r>
        <w:t xml:space="preserve">Five limitations bound its use. First, the applicability-domain flag is a weak discriminator of</w:t>
      </w:r>
      <w:r>
        <w:t xml:space="preserve"> </w:t>
      </w:r>
      <w:r>
        <w:t xml:space="preserve">non-drug-like chemistry: against chemistry genuinely absent from the reference it scores a median</w:t>
      </w:r>
      <w:r>
        <w:t xml:space="preserve"> </w:t>
      </w:r>
      <w:r>
        <w:t xml:space="preserve">maximum similarity of 0.47 against 0.59 for unseen approved drugs (n = 25, p = 1.1e-03), but at a</w:t>
      </w:r>
      <w:r>
        <w:t xml:space="preserve"> </w:t>
      </w:r>
      <w:r>
        <w:t xml:space="preserve">threshold rejecting a tenth of genuine drugs it catches only a fifth of distant chemistry. What it</w:t>
      </w:r>
      <w:r>
        <w:t xml:space="preserve"> </w:t>
      </w:r>
      <w:r>
        <w:t xml:space="preserve">does predict well is sensitivity, the distance it measures being the variable recall tracks. Second,</w:t>
      </w:r>
      <w:r>
        <w:t xml:space="preserve"> </w:t>
      </w:r>
      <w:r>
        <w:t xml:space="preserve">recall on chemistry beyond Tanimoto 0.40 is near 0.16, so a negative result on a novel scaffold is</w:t>
      </w:r>
      <w:r>
        <w:t xml:space="preserve"> </w:t>
      </w:r>
      <w:r>
        <w:t xml:space="preserve">close to uninformative, and the server reports the expected recall beside it. Third, the specificity</w:t>
      </w:r>
      <w:r>
        <w:t xml:space="preserve"> </w:t>
      </w:r>
      <w:r>
        <w:t xml:space="preserve">estimate rests on compounds presumed rather than proven inactive. Fourth, terpenoid and steroidal</w:t>
      </w:r>
      <w:r>
        <w:t xml:space="preserve"> </w:t>
      </w:r>
      <w:r>
        <w:t xml:space="preserve">natural products are largely outside the training library, whose median fraction-sp3 is 0.34, and</w:t>
      </w:r>
      <w:r>
        <w:t xml:space="preserve"> </w:t>
      </w:r>
      <w:r>
        <w:t xml:space="preserve">such compounds are flagged as outside the domain. Fifth, the disease layer does not predict</w:t>
      </w:r>
      <w:r>
        <w:t xml:space="preserve"> </w:t>
      </w:r>
      <w:r>
        <w:t xml:space="preserve">indication: 27 of the 51 targets in the pathway graph drive more than one condition, and what selects</w:t>
      </w:r>
      <w:r>
        <w:t xml:space="preserve"> </w:t>
      </w:r>
      <w:r>
        <w:t xml:space="preserve">among them, dose, regimen and patient population, is not present in a structure.</w:t>
      </w:r>
    </w:p>
    <w:p>
      <w:pPr>
        <w:pStyle w:val="BodyText"/>
      </w:pPr>
      <w:r>
        <w:t xml:space="preserve">The server does not distinguish an agonist from an antagonist. The training label is a potency value</w:t>
      </w:r>
      <w:r>
        <w:t xml:space="preserve"> </w:t>
      </w:r>
      <w:r>
        <w:t xml:space="preserve">measuring affinity, which an agonist and an antagonist at the same receptor can share, and ChEMBL’s</w:t>
      </w:r>
      <w:r>
        <w:t xml:space="preserve"> </w:t>
      </w:r>
      <w:r>
        <w:t xml:space="preserve">action_type field appears nowhere in this project’s data. The honest description of what the panel</w:t>
      </w:r>
      <w:r>
        <w:t xml:space="preserve"> </w:t>
      </w:r>
      <w:r>
        <w:t xml:space="preserve">predicts is engagement, not modulation.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server is freely available without registration at</w:t>
      </w:r>
      <w:r>
        <w:t xml:space="preserve"> </w:t>
      </w:r>
      <w:r>
        <w:t xml:space="preserve">https://huggingface.co/spaces/Krishnag999/brainsafe-ai. Source code, trained models, every training</w:t>
      </w:r>
      <w:r>
        <w:t xml:space="preserve"> </w:t>
      </w:r>
      <w:r>
        <w:t xml:space="preserve">table and every validation artefact are at https://github.com/krishna-g-999/brainsafe-ai under the</w:t>
      </w:r>
      <w:r>
        <w:t xml:space="preserve"> </w:t>
      </w:r>
      <w:r>
        <w:t xml:space="preserve">MIT licence; underlying data retain their sources’ licences. A permanent archive is deposited at</w:t>
      </w:r>
      <w:r>
        <w:t xml:space="preserve"> </w:t>
      </w:r>
      <w:r>
        <w:t xml:space="preserve">[DOI TO BE SUPPLIED].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SUPPLIED]</w:t>
      </w:r>
    </w:p>
    <w:bookmarkEnd w:id="15"/>
    <w:bookmarkStart w:id="16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6"/>
    <w:bookmarkStart w:id="32" w:name="figure-legends"/>
    <w:p>
      <w:pPr>
        <w:pStyle w:val="Heading2"/>
      </w:pPr>
      <w:r>
        <w:t xml:space="preserve">Figure legends</w:t>
      </w:r>
    </w:p>
    <w:p>
      <w:pPr>
        <w:pStyle w:val="CaptionedFigure"/>
      </w:pPr>
      <w:r>
        <w:drawing>
          <wp:inline>
            <wp:extent cx="5334000" cy="4471716"/>
            <wp:effectExtent b="0" l="0" r="0" t="0"/>
            <wp:docPr descr="Figure 1" title="" id="18" name="Picture"/>
            <a:graphic>
              <a:graphicData uri="http://schemas.openxmlformats.org/drawingml/2006/picture">
                <pic:pic>
                  <pic:nvPicPr>
                    <pic:cNvPr descr="figures/Figure1_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How a query is answered. (</w:t>
      </w:r>
      <w:r>
        <w:rPr>
          <w:b/>
          <w:bCs/>
        </w:rPr>
        <w:t xml:space="preserve">A</w:t>
      </w:r>
      <w:r>
        <w:t xml:space="preserve">) A submitted structure is standardised and represented</w:t>
      </w:r>
      <w:r>
        <w:t xml:space="preserve"> </w:t>
      </w:r>
      <w:r>
        <w:t xml:space="preserve">as one fixed 1,036-column vector, scored by four model families: nine exposure and ADME endpoints,</w:t>
      </w:r>
      <w:r>
        <w:t xml:space="preserve"> </w:t>
      </w:r>
      <w:r>
        <w:t xml:space="preserve">twelve target potency and activity endpoints, the 52-endpoint binder panel of which 47 are deployed,</w:t>
      </w:r>
      <w:r>
        <w:t xml:space="preserve"> </w:t>
      </w:r>
      <w:r>
        <w:t xml:space="preserve">and two auxiliary regressions. Every target score is admitted only in proportion to the predicted probability that the</w:t>
      </w:r>
      <w:r>
        <w:t xml:space="preserve"> </w:t>
      </w:r>
      <w:r>
        <w:t xml:space="preserve">compound reaches the brain, and surviving scores are ranked by enrichment over each endpoint’s base</w:t>
      </w:r>
      <w:r>
        <w:t xml:space="preserve"> </w:t>
      </w:r>
      <w:r>
        <w:t xml:space="preserve">rate rather than by raw probability. Every reported value carries a calibrated probability, a</w:t>
      </w:r>
      <w:r>
        <w:t xml:space="preserve"> </w:t>
      </w:r>
      <w:r>
        <w:t xml:space="preserve">conformal interval and an applicability-domain distance. (</w:t>
      </w:r>
      <w:r>
        <w:rPr>
          <w:b/>
          <w:bCs/>
        </w:rPr>
        <w:t xml:space="preserve">B</w:t>
      </w:r>
      <w:r>
        <w:t xml:space="preserve">) The counts in (</w:t>
      </w:r>
      <w:r>
        <w:rPr>
          <w:b/>
          <w:bCs/>
        </w:rPr>
        <w:t xml:space="preserve">A</w:t>
      </w:r>
      <w:r>
        <w:t xml:space="preserve">) are trained</w:t>
      </w:r>
      <w:r>
        <w:t xml:space="preserve"> </w:t>
      </w:r>
      <w:r>
        <w:t xml:space="preserve">estimators, 75 in total, of which 70 are deployed. Each was preceded by twenty fits that never serve</w:t>
      </w:r>
      <w:r>
        <w:t xml:space="preserve"> </w:t>
      </w:r>
      <w:r>
        <w:t xml:space="preserve">a prediction and exist only to measure how the twenty-first behaves on withheld compounds, 1,480</w:t>
      </w:r>
      <w:r>
        <w:t xml:space="preserve"> </w:t>
      </w:r>
      <w:r>
        <w:t xml:space="preserve">across the panel.</w:t>
      </w:r>
    </w:p>
    <w:p>
      <w:pPr>
        <w:pStyle w:val="CaptionedFigure"/>
      </w:pPr>
      <w:r>
        <w:drawing>
          <wp:inline>
            <wp:extent cx="5334000" cy="4095332"/>
            <wp:effectExtent b="0" l="0" r="0" t="0"/>
            <wp:docPr descr="Figure 2" title="" id="21" name="Picture"/>
            <a:graphic>
              <a:graphicData uri="http://schemas.openxmlformats.org/drawingml/2006/picture">
                <pic:pic>
                  <pic:nvPicPr>
                    <pic:cNvPr descr="figures/Figure9_model_atl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panel, one mark per estimator, so that no claim rests on a mean a reader cannot</w:t>
      </w:r>
      <w:r>
        <w:t xml:space="preserve"> </w:t>
      </w:r>
      <w:r>
        <w:t xml:space="preserve">check. (</w:t>
      </w:r>
      <w:r>
        <w:rPr>
          <w:b/>
          <w:bCs/>
        </w:rPr>
        <w:t xml:space="preserve">A</w:t>
      </w:r>
      <w:r>
        <w:t xml:space="preserve">) Every estimator, deployed or withdrawn, placed by the number of compounds it was</w:t>
      </w:r>
      <w:r>
        <w:t xml:space="preserve"> </w:t>
      </w:r>
      <w:r>
        <w:t xml:space="preserve">trained on</w:t>
      </w:r>
      <w:r>
        <w:t xml:space="preserve"> </w:t>
      </w:r>
      <w:r>
        <w:t xml:space="preserve">and by the performance claimed for it, coloured by model family. Marker shape carries the metric:</w:t>
      </w:r>
      <w:r>
        <w:t xml:space="preserve"> </w:t>
      </w:r>
      <w:r>
        <w:t xml:space="preserve">AUROC and R² both run to 1.0 and are not the same quantity, since 0.5 is chance for one and a</w:t>
      </w:r>
      <w:r>
        <w:t xml:space="preserve"> </w:t>
      </w:r>
      <w:r>
        <w:t xml:space="preserve">respectable fit for the other, so they are distinguished rather than averaged. The five estimators</w:t>
      </w:r>
      <w:r>
        <w:t xml:space="preserve"> </w:t>
      </w:r>
      <w:r>
        <w:t xml:space="preserve">withdrawn after specificity testing are drawn in outline, because a panel showing only what survived</w:t>
      </w:r>
      <w:r>
        <w:t xml:space="preserve"> </w:t>
      </w:r>
      <w:r>
        <w:t xml:space="preserve">is a selection rather than an inventory. Training sets span two orders of magnitude, from 68 to 15,723 rows;</w:t>
      </w:r>
      <w:r>
        <w:t xml:space="preserve"> </w:t>
      </w:r>
      <w:r>
        <w:t xml:space="preserve">binder training sets include property-matched decoys while the others are measured compounds only,</w:t>
      </w:r>
      <w:r>
        <w:t xml:space="preserve"> </w:t>
      </w:r>
      <w:r>
        <w:t xml:space="preserve">which the axis states. (</w:t>
      </w:r>
      <w:r>
        <w:rPr>
          <w:b/>
          <w:bCs/>
        </w:rPr>
        <w:t xml:space="preserve">B</w:t>
      </w:r>
      <w:r>
        <w:t xml:space="preserve">) The same population by family, with the</w:t>
      </w:r>
      <w:r>
        <w:t xml:space="preserve"> </w:t>
      </w:r>
      <w:r>
        <w:t xml:space="preserve">family median marked. The spread is the point: the binder classifiers have a median of 0.935 while</w:t>
      </w:r>
      <w:r>
        <w:t xml:space="preserve"> </w:t>
      </w:r>
      <w:r>
        <w:t xml:space="preserve">the exposure and ADME regressions have a median R² of 0.575, and a single panel average would</w:t>
      </w:r>
      <w:r>
        <w:t xml:space="preserve"> </w:t>
      </w:r>
      <w:r>
        <w:t xml:space="preserve">describe neither. The complete inventory, with training-set composition, validation scheme,</w:t>
      </w:r>
      <w:r>
        <w:t xml:space="preserve"> </w:t>
      </w:r>
      <w:r>
        <w:t xml:space="preserve">calibration and fitting date for every estimator, is Supplementary Table S1.</w:t>
      </w:r>
    </w:p>
    <w:p>
      <w:pPr>
        <w:pStyle w:val="CaptionedFigure"/>
      </w:pPr>
      <w:r>
        <w:drawing>
          <wp:inline>
            <wp:extent cx="5334000" cy="3957286"/>
            <wp:effectExtent b="0" l="0" r="0" t="0"/>
            <wp:docPr descr="Figure 3" title="" id="24" name="Picture"/>
            <a:graphic>
              <a:graphicData uri="http://schemas.openxmlformats.org/drawingml/2006/picture">
                <pic:pic>
                  <pic:nvPicPr>
                    <pic:cNvPr descr="figures/Figure6_valid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Four validations that a cross-validated score cannot replace. (</w:t>
      </w:r>
      <w:r>
        <w:rPr>
          <w:b/>
          <w:bCs/>
        </w:rPr>
        <w:t xml:space="preserve">A</w:t>
      </w:r>
      <w:r>
        <w:t xml:space="preserve">) Expected</w:t>
      </w:r>
      <w:r>
        <w:t xml:space="preserve"> </w:t>
      </w:r>
      <w:r>
        <w:t xml:space="preserve">calibration error before and after isotonic regression fitted on out-of-fold predictions, so no</w:t>
      </w:r>
      <w:r>
        <w:t xml:space="preserve"> </w:t>
      </w:r>
      <w:r>
        <w:t xml:space="preserve">compound contributes to the calibrator that scores it. (</w:t>
      </w:r>
      <w:r>
        <w:rPr>
          <w:b/>
          <w:bCs/>
        </w:rPr>
        <w:t xml:space="preserve">B</w:t>
      </w:r>
      <w:r>
        <w:t xml:space="preserve">) Recall on whole scaffold classes</w:t>
      </w:r>
      <w:r>
        <w:t xml:space="preserve"> </w:t>
      </w:r>
      <w:r>
        <w:t xml:space="preserve">withheld before training, with 95 per cent Wilson intervals</w:t>
      </w:r>
      <w:r>
        <w:t xml:space="preserve"> </w:t>
      </w:r>
      <w:r>
        <w:t xml:space="preserve">[@wilson_ci]</w:t>
      </w:r>
      <w:r>
        <w:t xml:space="preserve"> </w:t>
      </w:r>
      <w:r>
        <w:t xml:space="preserve">and marker area proportional</w:t>
      </w:r>
      <w:r>
        <w:t xml:space="preserve"> </w:t>
      </w:r>
      <w:r>
        <w:t xml:space="preserve">to the number of withheld actives, so an interval that is wide because the evidence is thin looks</w:t>
      </w:r>
      <w:r>
        <w:t xml:space="preserve"> </w:t>
      </w:r>
      <w:r>
        <w:t xml:space="preserve">thin. (</w:t>
      </w:r>
      <w:r>
        <w:rPr>
          <w:b/>
          <w:bCs/>
        </w:rPr>
        <w:t xml:space="preserve">C</w:t>
      </w:r>
      <w:r>
        <w:t xml:space="preserve">) Specificity on chemistry the server should stay quiet about, and external</w:t>
      </w:r>
      <w:r>
        <w:t xml:space="preserve"> </w:t>
      </w:r>
      <w:r>
        <w:t xml:space="preserve">discrimination on approved drugs absent from the training source. (</w:t>
      </w:r>
      <w:r>
        <w:rPr>
          <w:b/>
          <w:bCs/>
        </w:rPr>
        <w:t xml:space="preserve">D</w:t>
      </w:r>
      <w:r>
        <w:t xml:space="preserve">) The adversarial suite, in</w:t>
      </w:r>
      <w:r>
        <w:t xml:space="preserve"> </w:t>
      </w:r>
      <w:r>
        <w:t xml:space="preserve">which each check was written so that it could fail. Five of six pass; the sixth, shown at the same</w:t>
      </w:r>
      <w:r>
        <w:t xml:space="preserve"> </w:t>
      </w:r>
      <w:r>
        <w:t xml:space="preserve">size as the rest, is the applicability-domain flag, reported rather than retuned.</w:t>
      </w:r>
    </w:p>
    <w:p>
      <w:pPr>
        <w:pStyle w:val="CaptionedFigure"/>
      </w:pPr>
      <w:r>
        <w:drawing>
          <wp:inline>
            <wp:extent cx="5334000" cy="2786264"/>
            <wp:effectExtent b="0" l="0" r="0" t="0"/>
            <wp:docPr descr="Figure 4" title="" id="27" name="Picture"/>
            <a:graphic>
              <a:graphicData uri="http://schemas.openxmlformats.org/drawingml/2006/picture">
                <pic:pic>
                  <pic:nvPicPr>
                    <pic:cNvPr descr="figures/Figure8_use_c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 worked profile and the silence behaviour. For four approved CNS drugs the server</w:t>
      </w:r>
      <w:r>
        <w:t xml:space="preserve"> </w:t>
      </w:r>
      <w:r>
        <w:t xml:space="preserve">recovers the pharmacologically correct driving mechanism and the corresponding condition; for four</w:t>
      </w:r>
      <w:r>
        <w:t xml:space="preserve"> </w:t>
      </w:r>
      <w:r>
        <w:t xml:space="preserve">peripherally acting compounds no disease score reaches the reporting threshold. Bars are disease</w:t>
      </w:r>
      <w:r>
        <w:t xml:space="preserve"> </w:t>
      </w:r>
      <w:r>
        <w:t xml:space="preserve">scores after exposure gating, and the driving target is named beside each. The two behaviours are the</w:t>
      </w:r>
      <w:r>
        <w:t xml:space="preserve"> </w:t>
      </w:r>
      <w:r>
        <w:t xml:space="preserve">same design decision seen from opposite sides: a target score is admitted only in proportion to</w:t>
      </w:r>
      <w:r>
        <w:t xml:space="preserve"> </w:t>
      </w:r>
      <w:r>
        <w:t xml:space="preserve">predicted barrier penetration, so a compound that does not arrive cannot generate a disease call.</w:t>
      </w:r>
    </w:p>
    <w:p>
      <w:pPr>
        <w:pStyle w:val="BodyText"/>
      </w:pPr>
      <w:r>
        <w:t xml:space="preserve">Supplementary figures, each named by the file it is generated into so that the number and the</w:t>
      </w:r>
      <w:r>
        <w:t xml:space="preserve"> </w:t>
      </w:r>
      <w:r>
        <w:t xml:space="preserve">artefact cannot come apart:</w:t>
      </w:r>
    </w:p>
    <w:p>
      <w:pPr>
        <w:pStyle w:val="CaptionedFigure"/>
      </w:pPr>
      <w:r>
        <w:drawing>
          <wp:inline>
            <wp:extent cx="5334000" cy="4759684"/>
            <wp:effectExtent b="0" l="0" r="0" t="0"/>
            <wp:docPr descr="Figure 5" title="" id="30" name="Picture"/>
            <a:graphic>
              <a:graphicData uri="http://schemas.openxmlformats.org/drawingml/2006/picture">
                <pic:pic>
                  <pic:nvPicPr>
                    <pic:cNvPr descr="figures/Figure11_external_valid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External validation, and an apparent temporal decay that is a composition effect.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Per endpoint, AUROC under a size-matched random split against AUROC under a time split that</w:t>
      </w:r>
      <w:r>
        <w:t xml:space="preserve"> </w:t>
      </w:r>
      <w:r>
        <w:t xml:space="preserve">withholds the most recent quarter of the data and freezes the decision threshold before the cutoff.</w:t>
      </w:r>
      <w:r>
        <w:t xml:space="preserve"> </w:t>
      </w:r>
      <w:r>
        <w:t xml:space="preserve">The size match matters: a time split trains on less data as well as none of the future, so without a</w:t>
      </w:r>
      <w:r>
        <w:t xml:space="preserve"> </w:t>
      </w:r>
      <w:r>
        <w:t xml:space="preserve">control at the same n a drop cannot be attributed to either. (</w:t>
      </w:r>
      <w:r>
        <w:rPr>
          <w:b/>
          <w:bCs/>
        </w:rPr>
        <w:t xml:space="preserve">B</w:t>
      </w:r>
      <w:r>
        <w:t xml:space="preserve">) The same comparison for</w:t>
      </w:r>
      <w:r>
        <w:t xml:space="preserve"> </w:t>
      </w:r>
      <w:r>
        <w:t xml:space="preserve">sensitivity at the frozen operating point, where the gap is larger. (</w:t>
      </w:r>
      <w:r>
        <w:rPr>
          <w:b/>
          <w:bCs/>
        </w:rPr>
        <w:t xml:space="preserve">C</w:t>
      </w:r>
      <w:r>
        <w:t xml:space="preserve">) Why the gap exists. A</w:t>
      </w:r>
      <w:r>
        <w:t xml:space="preserve"> </w:t>
      </w:r>
      <w:r>
        <w:t xml:space="preserve">random split of medicinal-chemistry data holds out mostly close analogues of its own training set,</w:t>
      </w:r>
      <w:r>
        <w:t xml:space="preserve"> </w:t>
      </w:r>
      <w:r>
        <w:t xml:space="preserve">because the published record is series; a time split does not. The two are not testing comparable</w:t>
      </w:r>
      <w:r>
        <w:t xml:space="preserve"> </w:t>
      </w:r>
      <w:r>
        <w:t xml:space="preserve">populations. (</w:t>
      </w:r>
      <w:r>
        <w:rPr>
          <w:b/>
          <w:bCs/>
        </w:rPr>
        <w:t xml:space="preserve">D</w:t>
      </w:r>
      <w:r>
        <w:t xml:space="preserve">) The resolution. Recall against maximum Tanimoto similarity to the training</w:t>
      </w:r>
      <w:r>
        <w:t xml:space="preserve"> </w:t>
      </w:r>
      <w:r>
        <w:t xml:space="preserve">actives, for three test sets built by unrelated rules: withheld by publication date, withheld at</w:t>
      </w:r>
      <w:r>
        <w:t xml:space="preserve"> </w:t>
      </w:r>
      <w:r>
        <w:t xml:space="preserve">random, and withheld by curator, the last being compounds deposited in BindingDB and absent from</w:t>
      </w:r>
      <w:r>
        <w:t xml:space="preserve"> </w:t>
      </w:r>
      <w:r>
        <w:t xml:space="preserve">ChEMBL. They trace one curve, so recall is a function of chemical distance rather than of how the set</w:t>
      </w:r>
      <w:r>
        <w:t xml:space="preserve"> </w:t>
      </w:r>
      <w:r>
        <w:t xml:space="preserve">was held out, and the expected sensitivity for a submitted compound is knowable at query time.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2026-08-25T13:56:17Z</dcterms:created>
  <dcterms:modified xsi:type="dcterms:W3CDTF">2026-08-25T13:56:17Z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