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9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9"/>
    <w:bookmarkStart w:id="10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10"/>
    <w:bookmarkStart w:id="11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11"/>
    <w:bookmarkStart w:id="12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was computed over every active in the endpoint table rather than over the</w:t>
      </w:r>
      <w:r>
        <w:t xml:space="preserve"> </w:t>
      </w:r>
      <w:r>
        <w:t xml:space="preserve">held-out actives its own label claimed. That defect was corrected in the repository on 2026-08-30,</w:t>
      </w:r>
      <w:r>
        <w:t xml:space="preserve"> </w:t>
      </w:r>
      <w:r>
        <w:t xml:space="preserve">and the registry now stores the held-out figure on all 47 deployed endpoints. The table below</w:t>
      </w:r>
      <w:r>
        <w:t xml:space="preserve"> </w:t>
      </w:r>
      <w:r>
        <w:t xml:space="preserve">therefore compares what was published before the correction with what is published now.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 before 2026-08-30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published now, 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12"/>
    <w:bookmarkStart w:id="14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13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13"/>
    <w:bookmarkEnd w:id="14"/>
    <w:bookmarkStart w:id="15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15"/>
    <w:bookmarkStart w:id="16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1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1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1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16"/>
    <w:bookmarkEnd w:id="1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2026-09-06T10:01:56Z</dcterms:created>
  <dcterms:modified xsi:type="dcterms:W3CDTF">2026-09-06T10:01:56Z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