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1.007 to 1.079.</w:t>
      </w:r>
    </w:p>
    <w:p>
      <w:pPr>
        <w:pStyle w:val="BodyText"/>
      </w:pPr>
      <w:r>
        <w:rPr>
          <w:b/>
          <w:bCs/>
        </w:rPr>
        <w:t xml:space="preserve">Volunteer this:</w:t>
      </w:r>
      <w:r>
        <w:t xml:space="preserve"> </w:t>
      </w:r>
      <w:r>
        <w:t xml:space="preserve">two endpoints undershoot, MAO-A at 0.889 and MAO-B at 0.899. Both are marginal,</w:t>
      </w:r>
      <w:r>
        <w:t xml:space="preserve"> </w:t>
      </w:r>
      <w:r>
        <w:t xml:space="preserve">and the guarantee is asymptotic in the calibration-set size, but the honest phrasing is</w:t>
      </w:r>
      <w:r>
        <w:t xml:space="preserve"> </w:t>
      </w:r>
      <w:r>
        <w:t xml:space="preserve">“coverage</w:t>
      </w:r>
      <w:r>
        <w:t xml:space="preserve"> </w:t>
      </w:r>
      <w:r>
        <w:t xml:space="preserve">holds at six of eight and is marginally short at two”</w:t>
      </w:r>
      <w:r>
        <w:t xml:space="preserve">, not</w:t>
      </w:r>
      <w:r>
        <w:t xml:space="preserve"> </w:t>
      </w:r>
      <w:r>
        <w:t xml:space="preserve">“coverage holds”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0.889 to 0.921</w:t>
            </w:r>
          </w:p>
        </w:tc>
        <w:tc>
          <w:tcPr/>
          <w:p>
            <w:pPr>
              <w:pStyle w:val="Compact"/>
            </w:pPr>
            <w:r>
              <w:t xml:space="preserve">set size 1.007 to 1.079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0.7934</w:t>
            </w:r>
            <w:r>
              <w:t xml:space="preserve"> </w:t>
            </w:r>
            <w:r>
              <w:t xml:space="preserve">on 241 unseen drugs</w:t>
            </w:r>
          </w:p>
        </w:tc>
        <w:tc>
          <w:tcPr/>
          <w:p>
            <w:pPr>
              <w:pStyle w:val="Compact"/>
            </w:pPr>
            <w:r>
              <w:t xml:space="preserve">0.7645 on 306, 0.7102 on the 65 memorised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241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</w:pPr>
            <w:r>
              <w:t xml:space="preserve">−0.0233, interval −0.0553 to</w:t>
            </w:r>
            <w:r>
              <w:t xml:space="preserve"> </w:t>
            </w:r>
            <w:r>
              <w:rPr>
                <w:b/>
                <w:bCs/>
              </w:rPr>
              <w:t xml:space="preserve">+0.0106</w:t>
            </w:r>
            <w:r>
              <w:t xml:space="preserve">, p = 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</w:pPr>
            <w:r>
              <w:t xml:space="preserve">−0.0514, interval −0.0940 to −0.0101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−0.0494, interval −0.0938 to −0.0047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</w:pPr>
            <w:r>
              <w:t xml:space="preserve">−0.1565, interval −0.2108 to −0.1004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0.7934 on</w:t>
      </w:r>
      <w:r>
        <w:t xml:space="preserve"> </w:t>
      </w:r>
      <w:r>
        <w:t xml:space="preserve">the 241 that are also distinguishable in feature space.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0.7934 on the 241 that are also novel in feature</w:t>
      </w:r>
      <w:r>
        <w:t xml:space="preserve"> </w:t>
      </w:r>
      <w:r>
        <w:t xml:space="preserve">space.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65 compounds that are feature-identical to a training compound</w:t>
      </w:r>
      <w:r>
        <w:t xml:space="preserve"> </w:t>
      </w:r>
      <w:r>
        <w:t xml:space="preserve">score 0.7102 against 0.7934 for the genuinely novel ones.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2026-09-06T10:01:58Z</dcterms:created>
  <dcterms:modified xsi:type="dcterms:W3CDTF">2026-09-06T10:01:58Z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