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0.949</w:t>
      </w:r>
      <w:r>
        <w:t xml:space="preserve"> </w:t>
      </w:r>
      <w:r>
        <w:t xml:space="preserve">(95% CI 0.934 to 0.961).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29,751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0.9228 mean AUROC, ahead of histogram gradient</w:t>
      </w:r>
      <w:r>
        <w:t xml:space="preserve"> </w:t>
      </w:r>
      <w:r>
        <w:t xml:space="preserve">boosting (0.9160), XGBoost (0.9144), the read-across (0.8844) and logistic regression (0.8338), and</w:t>
      </w:r>
      <w:r>
        <w:t xml:space="preserve"> </w:t>
      </w:r>
      <w:r>
        <w:t xml:space="preserve">it exceeds the read-across on all thirteen endpoints. It does not lead regression: XGBoost and</w:t>
      </w:r>
      <w:r>
        <w:t xml:space="preserve"> </w:t>
      </w:r>
      <w:r>
        <w:t xml:space="preserve">histogram gradient boosting reach mean scaffold R² of 0.5453 and 0.5452 against 0.5186. A random</w:t>
      </w:r>
      <w:r>
        <w:t xml:space="preserve"> </w:t>
      </w:r>
      <w:r>
        <w:t xml:space="preserve">forest is nonetheless deployed everywhere, because it leads where the principal claims are made,</w:t>
      </w:r>
      <w:r>
        <w:t xml:space="preserve"> </w:t>
      </w:r>
      <w:r>
        <w:t xml:space="preserve">calibrates stably, supplies the vote distribution the conformal layer consumes, and needs no GPU. The</w:t>
      </w:r>
      <w:r>
        <w:t xml:space="preserve"> </w:t>
      </w:r>
      <w:r>
        <w:t xml:space="preserve">cost of that uniformity is about 0.03 R² on the potency regressions and is stated rather than left</w:t>
      </w:r>
      <w:r>
        <w:t xml:space="preserve"> </w:t>
      </w:r>
      <w:r>
        <w:t xml:space="preserve">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(23)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(24)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isotonic regression is fitted by five-fold</w:t>
      </w:r>
      <w:r>
        <w:t xml:space="preserve"> </w:t>
      </w:r>
      <w:r>
        <w:rPr>
          <w:rStyle w:val="VerbatimChar"/>
        </w:rPr>
        <w:t xml:space="preserve">cross_val_predict</w:t>
      </w:r>
      <w:r>
        <w:t xml:space="preserve"> </w:t>
      </w:r>
      <w:r>
        <w:t xml:space="preserve">over the pooled out-of-fold</w:t>
      </w:r>
      <w:r>
        <w:t xml:space="preserve"> </w:t>
      </w:r>
      <w:r>
        <w:t xml:space="preserve">prediction vector. Fitting it instead on the other nine folds’ out-of-fold predictions, an equally</w:t>
      </w:r>
      <w:r>
        <w:t xml:space="preserve"> </w:t>
      </w:r>
      <w:r>
        <w:t xml:space="preserve">defensible nesting, gives 0.0063 on the same data. Both are honest estimates of different</w:t>
      </w:r>
      <w:r>
        <w:t xml:space="preserve"> </w:t>
      </w:r>
      <w:r>
        <w:t xml:space="preserve">estimators, and the difference is larger than any of the calibration gains it might be used to</w:t>
      </w:r>
      <w:r>
        <w:t xml:space="preserve"> </w:t>
      </w:r>
      <w:r>
        <w:t xml:space="preserve">compare, so the protocol is reported rather than the number alone. Each prediction additionally</w:t>
      </w:r>
      <w:r>
        <w:t xml:space="preserve"> </w:t>
      </w:r>
      <w:r>
        <w:t xml:space="preserve">carries a Mondrian conformal interval, which converts the</w:t>
      </w:r>
      <w:r>
        <w:t xml:space="preserve"> </w:t>
      </w:r>
      <w:r>
        <w:t xml:space="preserve">applicability domain from a caveat into a coverage statement (25): empirical coverage is</w:t>
      </w:r>
      <w:r>
        <w:t xml:space="preserve"> </w:t>
      </w:r>
      <w:r>
        <w:t xml:space="preserve">0.889 to 0.921 against a 0.90 target. The applicability domain itself is the maximum ECFP-4 Tanimoto</w:t>
      </w:r>
      <w:r>
        <w:t xml:space="preserve"> </w:t>
      </w:r>
      <w:r>
        <w:t xml:space="preserve">similarity of the query to that endpoint’s own measured chemistry (26),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(27) with Tanimoto below 0.35 to any positive. Binder classifiers use</w:t>
      </w:r>
      <w:r>
        <w:t xml:space="preserve"> </w:t>
      </w:r>
      <w:r>
        <w:t xml:space="preserve">sigmoid calibration (28),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43 deployed endpoints</w:t>
      </w:r>
      <w:r>
        <w:t xml:space="preserve"> </w:t>
      </w:r>
      <w:r>
        <w:t xml:space="preserve">that carry one, and reaches 0.0621, exceeding its 0.05 target for four endpoints, which under the</w:t>
      </w:r>
      <w:r>
        <w:t xml:space="preserve"> </w:t>
      </w:r>
      <w:r>
        <w:t xml:space="preserve">previous procedure was arithmetically impossible. 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(29), the Reactome KEAP1-NFE2L2 oxidative</w:t>
      </w:r>
      <w:r>
        <w:t xml:space="preserve"> </w:t>
      </w:r>
      <w:r>
        <w:t xml:space="preserve">stress response (30) and IUPHAR/BPS Guide to Pharmacology associations (31).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(32) and RDKit (33),</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0.898 on actives withheld by</w:t>
      </w:r>
      <w:r>
        <w:t xml:space="preserve"> </w:t>
      </w:r>
      <w:r>
        <w:t xml:space="preserve">scaffold, at thresholds constrained simultaneously by held-out measured inactives and by the</w:t>
      </w:r>
      <w:r>
        <w:t xml:space="preserve"> </w:t>
      </w:r>
      <w:r>
        <w:t xml:space="preserve">false-positive rate on a disjoint pool of unrelated chemistry. Both figures are means over 47</w:t>
      </w:r>
      <w:r>
        <w:t xml:space="preserve"> </w:t>
      </w:r>
      <w:r>
        <w:t xml:space="preserve">endpoints and the spread behind them is wide: AUROC ranges from 0.719 at GABA-A to 0.985, and</w:t>
      </w:r>
      <w:r>
        <w:t xml:space="preserve"> </w:t>
      </w:r>
      <w:r>
        <w:t xml:space="preserve">sensitivity from 0.639 at COX-2 to 0.997, so the two means describe the panel and not any particular</w:t>
      </w:r>
      <w:r>
        <w:t xml:space="preserve"> </w:t>
      </w:r>
      <w:r>
        <w:t xml:space="preserve">endpoint. Supplementary Table S1 gives every endpoint separately. Five are withdrawn: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 Measured on that disjoint pool the background</w:t>
      </w:r>
      <w:r>
        <w:t xml:space="preserve"> </w:t>
      </w:r>
      <w:r>
        <w:t xml:space="preserve">false-positive rate has a median of 0.0259.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(34),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4.7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0.4938 (random) and 0.4921 (scaffold), with a worst single endpoint of 0.5174.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0.793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0.071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949 returned no actionable disease signal, a specificity of</w:t>
      </w:r>
      <w:r>
        <w:t xml:space="preserve"> </w:t>
      </w:r>
      <w:r>
        <w:t xml:space="preserve">0.949 (95% CI 0.934 to 0.961). Of the 51 false positives, 28 fired on a single condition rather than</w:t>
      </w:r>
      <w:r>
        <w:t xml:space="preserve"> </w:t>
      </w:r>
      <w:r>
        <w:t xml:space="preserve">producing a diffuse profile, and the median score among them was 0.448,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0.59 for unseen drugs (n = 25,</w:t>
      </w:r>
      <w:r>
        <w:t xml:space="preserve"> </w:t>
      </w:r>
      <w:r>
        <w:t xml:space="preserve">p = 1.1e-03), which is a weak signal and is described as one.</w:t>
      </w:r>
    </w:p>
    <w:p>
      <w:pPr>
        <w:pStyle w:val="BodyText"/>
      </w:pPr>
      <w:r>
        <w:rPr>
          <w:b/>
          <w:bCs/>
        </w:rPr>
        <w:t xml:space="preserve">Attribution.</w:t>
      </w:r>
      <w:r>
        <w:t xml:space="preserve"> </w:t>
      </w:r>
      <w:r>
        <w:t xml:space="preserve">SHAP attributions computed with TreeExplainer (34),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0.154.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0.603 and beats chance on seven. Macro-averaged top-3 recall, which averages</w:t>
      </w:r>
      <w:r>
        <w:t xml:space="preserve"> </w:t>
      </w:r>
      <w:r>
        <w:t xml:space="preserve">per indication rather than pooling and so cannot be carried by naming the common conditions, is 0.385</w:t>
      </w:r>
      <w:r>
        <w:t xml:space="preserve"> </w:t>
      </w:r>
      <w:r>
        <w:t xml:space="preserve">against 0.333. The spread is wide and is the substance of the result: depression and anxiety reach</w:t>
      </w:r>
      <w:r>
        <w:t xml:space="preserve"> </w:t>
      </w:r>
      <w:r>
        <w:t xml:space="preserve">0.794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0.59 for unseen approved drugs (n = 25, one-sided Mann-Whitney</w:t>
      </w:r>
      <w:r>
        <w:t xml:space="preserve"> </w:t>
      </w:r>
      <w:r>
        <w:t xml:space="preserve">p = 1.1e-03),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The second is the size of that effect. On chemistry more than a Tanimoto of 0.40 from anything the</w:t>
      </w:r>
      <w:r>
        <w:t xml:space="preserve"> </w:t>
      </w:r>
      <w:r>
        <w:t xml:space="preserve">panel has measured, recall at the deployed operating point is near 0.16, and no analysis here</w:t>
      </w:r>
      <w:r>
        <w:t xml:space="preserve"> </w:t>
      </w:r>
      <w:r>
        <w:t xml:space="preserve">improves it; what the prospective work establishes is that the figure is predictable, not that it is</w:t>
      </w:r>
      <w:r>
        <w:t xml:space="preserve"> </w:t>
      </w:r>
      <w:r>
        <w:t xml:space="preserve">better than it looked. A negative result on a novel scaffold is close to uninformative, which is why</w:t>
      </w:r>
      <w:r>
        <w:t xml:space="preserve"> </w:t>
      </w:r>
      <w:r>
        <w:t xml:space="preserve">the server now reports the expected recall beside it.</w:t>
      </w:r>
    </w:p>
    <w:p>
      <w:pPr>
        <w:pStyle w:val="BodyText"/>
      </w:pPr>
      <w:r>
        <w:t xml:space="preserve">The third is that the specificity estimate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BodyText"/>
      </w:pPr>
      <w:r>
        <w:t xml:space="preserve">The fourth is natural-product chemistry, and it is stated here because a reader will reasonably 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0.719, 0.711 and 0.596 for NRF2, NFKB1 and NR3C1. But the fold-to-fold standard deviations are</w:t>
      </w:r>
      <w:r>
        <w:t xml:space="preserve"> </w:t>
      </w:r>
      <w:r>
        <w:t xml:space="preserve">0.157, 0.151 and 0.152, so that signal is not stable, and it does not survive the step that makes an</w:t>
      </w:r>
      <w:r>
        <w:t xml:space="preserve"> </w:t>
      </w:r>
      <w:r>
        <w:t xml:space="preserve">endpoint deployable. Against their own held-out measured inactives they reach AUROC 0.539, 0.392 and</w:t>
      </w:r>
      <w:r>
        <w:t xml:space="preserve"> </w:t>
      </w:r>
      <w:r>
        <w:t xml:space="preserve">0.479, and at a threshold constrained to control the false-positive rate on the disjoint background</w:t>
      </w:r>
      <w:r>
        <w:t xml:space="preserve"> </w:t>
      </w:r>
      <w:r>
        <w:t xml:space="preserve">pool they recover almost no actives at all: sensitivity 0.250, 0.048 and 0.000. An endpoint that</w:t>
      </w:r>
      <w:r>
        <w:t xml:space="preserve"> </w:t>
      </w:r>
      <w:r>
        <w:t xml:space="preserve">cannot be given a threshold that finds actives without firing on everything else is not usable,</w:t>
      </w:r>
      <w:r>
        <w:t xml:space="preserve"> </w:t>
      </w:r>
      <w:r>
        <w:t xml:space="preserve">whatever its cross-validated AUROC. The cause is visible in what the</w:t>
      </w:r>
      <w:r>
        <w:t xml:space="preserve"> </w:t>
      </w:r>
      <w:r>
        <w:t xml:space="preserve">labels are made of. A binder classifier is fitted to reproduce a direct binding constant, and</w:t>
      </w:r>
      <w:r>
        <w:t xml:space="preserve"> </w:t>
      </w:r>
      <w:r>
        <w:t xml:space="preserve">for two of these three there is essentially none: of the labelled records, Ki or Kd accounts for</w:t>
      </w:r>
      <w:r>
        <w:t xml:space="preserve"> </w:t>
      </w:r>
      <w:r>
        <w:t xml:space="preserve">0.0 per cent at NRF2, 0.3 per cent at NFKB1 and 14.8 per cent at NR3C1, the remainder being</w:t>
      </w:r>
      <w:r>
        <w:t xml:space="preserve"> </w:t>
      </w:r>
      <w:r>
        <w:t xml:space="preserve">almost entirely</w:t>
      </w:r>
      <w:r>
        <w:t xml:space="preserve"> </w:t>
      </w:r>
      <w:r>
        <w:rPr>
          <w:rStyle w:val="VerbatimChar"/>
        </w:rPr>
        <w:t xml:space="preserve">Potency</w:t>
      </w:r>
      <w:r>
        <w:t xml:space="preserve">, a pooled functional readout that mixes assay formats and does not</w:t>
      </w:r>
      <w:r>
        <w:t xml:space="preserve"> </w:t>
      </w:r>
      <w:r>
        <w:t xml:space="preserve">define a binding class a ligand fingerprint can separate. NR3C1, the one with real binding data,</w:t>
      </w:r>
      <w:r>
        <w:t xml:space="preserve"> </w:t>
      </w:r>
      <w:r>
        <w:t xml:space="preserve">is also the one with too few compounds to fit. The gap is therefore not one that adding targets</w:t>
      </w:r>
      <w:r>
        <w:t xml:space="preserve"> </w:t>
      </w:r>
      <w:r>
        <w:t xml:space="preserve">closes. It requires measured binding affinity on sp3-rich scaffolds, which is what does not</w:t>
      </w:r>
      <w:r>
        <w:t xml:space="preserve"> </w:t>
      </w:r>
      <w:r>
        <w:t xml:space="preserve">exist.</w:t>
      </w:r>
    </w:p>
    <w:p>
      <w:pPr>
        <w:pStyle w:val="BodyText"/>
      </w:pPr>
      <w:r>
        <w:t xml:space="preserve">The fifth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4"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52-endpoint binder panel of which 47 are deployed,</w:t>
      </w:r>
      <w:r>
        <w:t xml:space="preserve"> </w:t>
      </w:r>
      <w:r>
        <w:t xml:space="preserve">and two auxiliary 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0.935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only after its controls were corrected; each is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2" name="Picture"/>
            <a:graphic>
              <a:graphicData uri="http://schemas.openxmlformats.org/drawingml/2006/picture">
                <pic:pic>
                  <pic:nvPicPr>
                    <pic:cNvPr descr="figures/Figure11_external_validation.png" id="43" name="Picture"/>
                    <pic:cNvPicPr>
                      <a:picLocks noChangeArrowheads="1" noChangeAspect="1"/>
                    </pic:cNvPicPr>
                  </pic:nvPicPr>
                  <pic:blipFill>
                    <a:blip r:embed="rId41"/>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4"/>
    <w:bookmarkStart w:id="4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2026-08-25T16:34:09Z</dcterms:created>
  <dcterms:modified xsi:type="dcterms:W3CDTF">2026-08-25T16:34:09Z</dcterms:modified>
</cp:coreProperties>
</file>

<file path=docProps/custom.xml><?xml version="1.0" encoding="utf-8"?>
<Properties xmlns="http://schemas.openxmlformats.org/officeDocument/2006/custom-properties" xmlns:vt="http://schemas.openxmlformats.org/officeDocument/2006/docPropsVTypes"/>
</file>