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9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9"/>
    <w:bookmarkStart w:id="10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0"/>
    <w:bookmarkStart w:id="11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241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0.6369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0.6058</w:t>
            </w:r>
          </w:p>
        </w:tc>
      </w:tr>
    </w:tbl>
    <w:p>
      <w:pPr>
        <w:pStyle w:val="BodyText"/>
      </w:pPr>
      <w:r>
        <w:t xml:space="preserve">Read as point estimates the fingerprint wins on both populations, by 0.0338 and 0.0233.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−0.0553 to +0.0106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0.083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241 approved drugs the model has never seen, its advantage over twelve</w:t>
      </w:r>
      <w:r>
        <w:t xml:space="preserve"> </w:t>
      </w:r>
      <w:r>
        <w:t xml:space="preserve">descriptors is not established: the interval crosses zero.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0.7934</w:t>
      </w:r>
      <w:r>
        <w:t xml:space="preserve"> </w:t>
      </w:r>
      <w:r>
        <w:t xml:space="preserve">against 0.6369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"/>
    <w:bookmarkStart w:id="12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2"/>
    <w:bookmarkStart w:id="13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3"/>
    <w:bookmarkStart w:id="14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0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0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0.59 for unseen drugs against 0.47 for</w:t>
      </w:r>
      <w:r>
        <w:t xml:space="preserve"> </w:t>
      </w:r>
      <w:r>
        <w:t xml:space="preserve">non-drug-like controls (n = 25, Mann-Whitney p = 1.11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4"/>
    <w:bookmarkStart w:id="15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5"/>
    <w:bookmarkStart w:id="16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Ten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p>
      <w:pPr>
        <w:pStyle w:val="BodyText"/>
      </w:pPr>
      <w:r>
        <w:rPr>
          <w:b/>
          <w:bCs/>
        </w:rPr>
        <w:t xml:space="preserve">Closed while writing.</w:t>
      </w:r>
      <w:r>
        <w:t xml:space="preserve"> </w:t>
      </w:r>
      <w:r>
        <w:t xml:space="preserve">Six were closed in the course of writing Chapters 5 to 10.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Commit</w:t>
            </w:r>
            <w:r>
              <w:t xml:space="preserve"> </w:t>
            </w:r>
            <w:r>
              <w:rPr>
                <w:rStyle w:val="VerbatimChar"/>
              </w:rPr>
              <w:t xml:space="preserve">ab88039</w:t>
            </w:r>
            <w:r>
              <w:t xml:space="preserve">; registry now holds the held-out figure on all 47 endpoints, reconciliation gap +0.000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 corrected by</w:t>
            </w:r>
            <w:r>
              <w:t xml:space="preserve"> </w:t>
            </w:r>
            <w:r>
              <w:rPr>
                <w:rStyle w:val="VerbatimChar"/>
              </w:rPr>
              <w:t xml:space="preserve">fd7aaa0</w:t>
            </w:r>
            <w:r>
              <w:t xml:space="preserve">;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Closed after writing.</w:t>
      </w:r>
      <w:r>
        <w:t xml:space="preserve"> </w:t>
      </w:r>
      <w:r>
        <w:t xml:space="preserve">Four more were repaired on 2026-09-02 in commit</w:t>
      </w:r>
      <w:r>
        <w:t xml:space="preserve"> </w:t>
      </w:r>
      <w:r>
        <w:rPr>
          <w:rStyle w:val="VerbatimChar"/>
        </w:rPr>
        <w:t xml:space="preserve">1f91925</w:t>
      </w:r>
      <w:r>
        <w:t xml:space="preserve">, which audited</w:t>
      </w:r>
      <w:r>
        <w:t xml:space="preserve"> </w:t>
      </w:r>
      <w:r>
        <w:t xml:space="preserve">Chapters 8 to 10 against the files they cite. They are recorded here because the ledger is the</w:t>
      </w:r>
      <w:r>
        <w:t xml:space="preserve"> </w:t>
      </w:r>
      <w:r>
        <w:t xml:space="preserve">chapter’s own claim about the state of the project, and a ledger that goes stale is the defect</w:t>
      </w:r>
      <w:r>
        <w:t xml:space="preserve"> </w:t>
      </w:r>
      <w:r>
        <w:t xml:space="preserve">section 10.7 describes.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Closed 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app.py:102-104</w:t>
            </w:r>
            <w:r>
              <w:t xml:space="preserve"> </w:t>
            </w:r>
            <w:r>
              <w:t xml:space="preserve">quotes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it used to say. Audit item BS-M-04 now closed in the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holds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</w:tbl>
    <w:p>
      <w:pPr>
        <w:pStyle w:val="BodyText"/>
      </w:pPr>
      <w:r>
        <w:t xml:space="preserve">The third of those deserves a sentence, because Chapter 9 posed it as a dilemma and the resolution is</w:t>
      </w:r>
      <w:r>
        <w:t xml:space="preserve"> </w:t>
      </w:r>
      <w:r>
        <w:t xml:space="preserve">narrower than either horn. Four of that file’s six columns were already correct; only the two</w:t>
      </w:r>
      <w:r>
        <w:t xml:space="preserve"> </w:t>
      </w:r>
      <w:r>
        <w:t xml:space="preserve">reported ones were stale, so refreshing those two from the registry avoids re-running the sequence</w:t>
      </w:r>
      <w:r>
        <w:t xml:space="preserve"> </w:t>
      </w:r>
      <w:r>
        <w:t xml:space="preserve">that would rewrite every operating threshold to correct a reported one. And the version a reviewer</w:t>
      </w:r>
      <w:r>
        <w:t xml:space="preserve"> </w:t>
      </w:r>
      <w:r>
        <w:t xml:space="preserve">holds was corrected at the same time as the local one, which is the part that mattered: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disagreement was visible to reviewers before it was visible to us.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sensitivity correction has reached the registry and not all of the prose.</w:t>
      </w:r>
      <w:r>
        <w:t xml:space="preserve"> </w:t>
      </w:r>
      <w:r>
        <w:t xml:space="preserve">The manuscript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EVIDENCE_MAP.md</w:t>
      </w:r>
      <w:r>
        <w:t xml:space="preserve"> </w:t>
      </w:r>
      <w:r>
        <w:t xml:space="preserve">still quote 0.8983 under the qualifier</w:t>
      </w:r>
      <w:r>
        <w:t xml:space="preserve"> </w:t>
      </w:r>
      <w:r>
        <w:t xml:space="preserve">“on actives withheld by scaffold”</w:t>
      </w:r>
      <w:r>
        <w:t xml:space="preserve">.</w:t>
      </w:r>
      <w:r>
        <w:t xml:space="preserve"> </w:t>
      </w:r>
      <w:r>
        <w:t xml:space="preserve">The correct figure is 0.7638. The technical report has been rebuilt; these two have not. (5, 6)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0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0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03"/>
        </w:numPr>
      </w:pPr>
      <w:r>
        <w:t xml:space="preserve">Two citation gaps remain in Chapter 1: a CNS attrition series, and verified citations for the</w:t>
      </w:r>
      <w:r>
        <w:t xml:space="preserve"> </w:t>
      </w:r>
      <w:r>
        <w:t xml:space="preserve">named comparison servers. (1)</w:t>
      </w:r>
    </w:p>
    <w:p>
      <w:pPr>
        <w:pStyle w:val="Compact"/>
        <w:numPr>
          <w:ilvl w:val="0"/>
          <w:numId w:val="1003"/>
        </w:numPr>
      </w:pPr>
      <w:r>
        <w:t xml:space="preserve">The unique-compound count of 169,341 keyed by InChIKey is quoted in the manuscript and the</w:t>
      </w:r>
      <w:r>
        <w:t xml:space="preserve"> </w:t>
      </w:r>
      <w:r>
        <w:t xml:space="preserve">evidence map and has not been re-derived. Counting distinct SMILES gives 170,619, which is</w:t>
      </w:r>
      <w:r>
        <w:t xml:space="preserve"> </w:t>
      </w:r>
      <w:r>
        <w:t xml:space="preserve">consistent with the two being different quantities but verifies nothing. (1, 2)</w:t>
      </w:r>
    </w:p>
    <w:p>
      <w:pPr>
        <w:pStyle w:val="Compact"/>
        <w:numPr>
          <w:ilvl w:val="0"/>
          <w:numId w:val="100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0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0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0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03"/>
        </w:numPr>
      </w:pPr>
      <w:r>
        <w:t xml:space="preserve">The haloperidol figures in the manuscript describe a fixed defect without saying so, and the</w:t>
      </w:r>
      <w:r>
        <w:t xml:space="preserve"> </w:t>
      </w:r>
      <w:r>
        <w:t xml:space="preserve">learning-curve conclusion in the technical report is not supported by its own table. (3)</w:t>
      </w:r>
    </w:p>
    <w:p>
      <w:pPr>
        <w:pStyle w:val="Compact"/>
        <w:numPr>
          <w:ilvl w:val="0"/>
          <w:numId w:val="100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0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0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03"/>
        </w:numPr>
      </w:pPr>
      <w:r>
        <w:t xml:space="preserve">The alternative median in the manuscript should read 3,587.5, not 3,587. (2)</w:t>
      </w:r>
    </w:p>
    <w:bookmarkEnd w:id="16"/>
    <w:bookmarkStart w:id="17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7"/>
    <w:bookmarkStart w:id="18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8"/>
    <w:bookmarkEnd w:id="1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2026-09-07T07:55:44Z</dcterms:created>
  <dcterms:modified xsi:type="dcterms:W3CDTF">2026-09-07T07:55:44Z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