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[14]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10,000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</w:t>
            </w:r>
          </w:p>
        </w:tc>
      </w:tr>
    </w:tbl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0.889 to 0.921</w:t>
      </w:r>
      <w:r>
        <w:t xml:space="preserve"> </w:t>
      </w:r>
      <w:r>
        <w:t xml:space="preserve">against a 0.90 target.</w:t>
      </w:r>
      <w:r>
        <w:t xml:space="preserve"> </w:t>
      </w:r>
      <w:r>
        <w:rPr>
          <w:b/>
          <w:bCs/>
        </w:rPr>
        <w:t xml:space="preserve">Six of the eight sit at or above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t xml:space="preserve">The two that fall short are the monoamine oxidases: MAO-B at 0.899, one thousandth below,</w:t>
      </w:r>
      <w:r>
        <w:t xml:space="preserve"> </w:t>
      </w:r>
      <w:r>
        <w:t xml:space="preserve">and MAO-A at 0.889, eleven thousandths below on 758 test compounds. Neither shortfall is larger than</w:t>
      </w:r>
      <w:r>
        <w:t xml:space="preserve"> </w:t>
      </w:r>
      <w:r>
        <w:t xml:space="preserve">the sampling error at those set sizes, and the direction is worth noting rather than explaining away,</w:t>
      </w:r>
      <w:r>
        <w:t xml:space="preserve"> </w:t>
      </w:r>
      <w:r>
        <w:t xml:space="preserve">because MAO-A and MAO-B are also the two endpoints Chapter 8 records as degrading most under a</w:t>
      </w:r>
      <w:r>
        <w:t xml:space="preserve"> </w:t>
      </w:r>
      <w:r>
        <w:t xml:space="preserve">scaffold split. Conformal coverage is a guarantee under exchangeability, and these are the endpoints</w:t>
      </w:r>
      <w:r>
        <w:t xml:space="preserve"> </w:t>
      </w:r>
      <w:r>
        <w:t xml:space="preserve">whose chemistry is least scaffold-diverse.</w:t>
      </w:r>
    </w:p>
    <w:p>
      <w:pPr>
        <w:pStyle w:val="BodyText"/>
      </w:pPr>
      <w:r>
        <w:t xml:space="preserve">The uncertainty statement is nonetheless honest in the aggregate: when the server says the truth is in</w:t>
      </w:r>
      <w:r>
        <w:t xml:space="preserve"> </w:t>
      </w:r>
      <w:r>
        <w:t xml:space="preserve">the set nine times in ten, it is, to within about one part in a hundred.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1.007 to 1.079</w:t>
      </w:r>
      <w:r>
        <w:t xml:space="preserve"> </w:t>
      </w:r>
      <w:r>
        <w:t xml:space="preserve">on a two-class problem, where 1.0 would mean every</w:t>
      </w:r>
      <w:r>
        <w:t xml:space="preserve"> </w:t>
      </w:r>
      <w:r>
        <w:t xml:space="preserve">prediction is a confident single label and 2.0 that none is. Between 0.7 and 7.9 per cent of</w:t>
      </w:r>
      <w:r>
        <w:t xml:space="preserve"> </w:t>
      </w:r>
      <w:r>
        <w:t xml:space="preserve">compounds therefore receive an ambiguous or empty set, hERG being the most equivocal at 1.079. Small</w:t>
      </w:r>
      <w:r>
        <w:t xml:space="preserve"> </w:t>
      </w:r>
      <w:r>
        <w:t xml:space="preserve">average set sizes are what make the guarantee useful rather than vacuous: a predictor that always</w:t>
      </w:r>
      <w:r>
        <w:t xml:space="preserve"> </w:t>
      </w:r>
      <w:r>
        <w:t xml:space="preserve">returned both classes would achieve perfect coverage and say nothing.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0.59 for unseen drugs against</w:t>
      </w:r>
      <w:r>
        <w:t xml:space="preserve"> </w:t>
      </w:r>
      <w:r>
        <w:t xml:space="preserve">0.47 for non-drug-like chemistry, over 25 controls, one-sided Mann-Whitney p = 1.11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2026-09-06T18:38:54Z</dcterms:created>
  <dcterms:modified xsi:type="dcterms:W3CDTF">2026-09-06T18:38:54Z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