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dad279826c4f1524d9fc34a93d587e82133be1"/>
    <w:p>
      <w:pPr>
        <w:pStyle w:val="Heading1"/>
      </w:pPr>
      <w:r>
        <w:t xml:space="preserve">BrainSafe AI: exposure-gated prediction of small-molecule target engagement in the brain</w:t>
      </w:r>
    </w:p>
    <w:p>
      <w:pPr>
        <w:pStyle w:val="FirstParagraph"/>
      </w:pPr>
      <w:r>
        <w:rPr>
          <w:b/>
          <w:bCs/>
        </w:rPr>
        <w:t xml:space="preserve">Authors.</w:t>
      </w:r>
      <w:r>
        <w:t xml:space="preserve"> </w:t>
      </w:r>
      <w:r>
        <w:t xml:space="preserve">Krishnasalini Gunanathan, Raghunatha Sarma, Sai Shyam, Ramya E. M.,</w:t>
      </w:r>
      <w:r>
        <w:t xml:space="preserve"> </w:t>
      </w:r>
      <w:r>
        <w:t xml:space="preserve">Venketesh Sivaramakrishnan. Sri Sathya Sai Institute of Higher Learning (SSSIHL), Puttaparthi,</w:t>
      </w:r>
      <w:r>
        <w:t xml:space="preserve"> </w:t>
      </w:r>
      <w:r>
        <w:t xml:space="preserve">Andhra Pradesh 515134, India. Corresponding author: Prof. Venketesh Sivaramakrishnan,</w:t>
      </w:r>
      <w:r>
        <w:t xml:space="preserve"> </w:t>
      </w:r>
      <w:r>
        <w:t xml:space="preserve">svenketesh@sssihl.edu.in.</w:t>
      </w:r>
    </w:p>
    <w:p>
      <w:pPr>
        <w:pStyle w:val="BodyText"/>
      </w:pPr>
      <w:r>
        <w:rPr>
          <w:b/>
          <w:bCs/>
        </w:rPr>
        <w:t xml:space="preserve">Server.</w:t>
      </w:r>
      <w:r>
        <w:t xml:space="preserve"> </w:t>
      </w:r>
      <w:r>
        <w:t xml:space="preserve">https://huggingface.co/spaces/Krishnag999/brainsafe-ai (live, no registration, MIT licence)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target prediction; blood-brain barrier; ADMET; applicability domain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Input.</w:t>
      </w:r>
      <w:r>
        <w:t xml:space="preserve"> </w:t>
      </w:r>
      <w:r>
        <w:t xml:space="preserve">A single SMILES string, or a compound name resolved to structure through PubChem. A batch</w:t>
      </w:r>
      <w:r>
        <w:t xml:space="preserve"> </w:t>
      </w:r>
      <w:r>
        <w:t xml:space="preserve">mode accepts up to 300 structures. No registration, no login, and no email address is requested.</w:t>
      </w:r>
      <w:r>
        <w:t xml:space="preserve"> </w:t>
      </w:r>
      <w:r>
        <w:t xml:space="preserve">Submitted structures are processed in memory and are not stored.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For one submission the server returns, in a few seconds: engagement of 54 molecular</w:t>
      </w:r>
      <w:r>
        <w:t xml:space="preserve"> </w:t>
      </w:r>
      <w:r>
        <w:t xml:space="preserve">targets, each as a calibrated probability, with conformal prediction intervals on the eight core</w:t>
      </w:r>
      <w:r>
        <w:t xml:space="preserve"> </w:t>
      </w:r>
      <w:r>
        <w:t xml:space="preserve">classifiers; predicted blood-brain barrier penetration; nine ADME and exposure endpoints, among them</w:t>
      </w:r>
      <w:r>
        <w:t xml:space="preserve"> </w:t>
      </w:r>
      <w:r>
        <w:t xml:space="preserve">a directly modelled unbound brain-to-plasma ratio and a cardiac hERG liability; and the distance to</w:t>
      </w:r>
      <w:r>
        <w:t xml:space="preserve"> </w:t>
      </w:r>
      <w:r>
        <w:t xml:space="preserve">the nearest measured analogue, with that analogue shown.</w:t>
      </w:r>
      <w:r>
        <w:t xml:space="preserve"> </w:t>
      </w:r>
      <w:r>
        <w:t xml:space="preserve">Engaged targets are traced through a curated pathway graph anchored to KEGG, Reactome and IUPHAR to</w:t>
      </w:r>
      <w:r>
        <w:t xml:space="preserve"> </w:t>
      </w:r>
      <w:r>
        <w:t xml:space="preserve">the conditions those mechanisms touch. Output includes an interactive mechanism map, per-endpoint</w:t>
      </w:r>
      <w:r>
        <w:t xml:space="preserve"> </w:t>
      </w:r>
      <w:r>
        <w:t xml:space="preserve">tables, and downloadable CSV, JSON and a self-contained HTML report.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75 estimators were trained and 70 deployed, on 228,200 measured compound-endpoint records</w:t>
      </w:r>
      <w:r>
        <w:t xml:space="preserve"> </w:t>
      </w:r>
      <w:r>
        <w:t xml:space="preserve">from ChEMBL, BindingDB, B3DB, Therapeutics Data Commons and MoleculeNet, covering 169,341 compounds</w:t>
      </w:r>
      <w:r>
        <w:t xml:space="preserve"> </w:t>
      </w:r>
      <w:r>
        <w:t xml:space="preserve">keyed by InChIKey. Each endpoint is fitted on its own measured set alone, of median 3,789 rows.</w:t>
      </w:r>
      <w:r>
        <w:t xml:space="preserve"> </w:t>
      </w:r>
      <w:r>
        <w:t xml:space="preserve">Compounds are represented as a 1,024-bit ECFP-4 fingerprint with twelve physicochemical descriptors,</w:t>
      </w:r>
      <w:r>
        <w:t xml:space="preserve"> </w:t>
      </w:r>
      <w:r>
        <w:t xml:space="preserve">and a random forest is fitted per endpoint. That choice was made on a like-for-like comparison over</w:t>
      </w:r>
      <w:r>
        <w:t xml:space="preserve"> </w:t>
      </w:r>
      <w:r>
        <w:t xml:space="preserve">the thirteen core endpoints against XGBoost, histogram gradient boosting, L2 logistic regression and</w:t>
      </w:r>
      <w:r>
        <w:t xml:space="preserve"> </w:t>
      </w:r>
      <w:r>
        <w:t xml:space="preserve">a nearest-neighbour read-across, and against a graph neural network on four of them, which the</w:t>
      </w:r>
      <w:r>
        <w:t xml:space="preserve"> </w:t>
      </w:r>
      <w:r>
        <w:t xml:space="preserve">random forest won on all four. On the scaffold split the forest is best on seven of the eight</w:t>
      </w:r>
      <w:r>
        <w:t xml:space="preserve"> </w:t>
      </w:r>
      <w:r>
        <w:t xml:space="preserve">classification endpoints and on none of the five regressions, where gradient boosting scores</w:t>
      </w:r>
      <w:r>
        <w:t xml:space="preserve"> </w:t>
      </w:r>
      <w:r>
        <w:t xml:space="preserve">higher; it was deployed for stability under hyperparameters, for not extrapolating at the edge</w:t>
      </w:r>
      <w:r>
        <w:t xml:space="preserve"> </w:t>
      </w:r>
      <w:r>
        <w:t xml:space="preserve">of the applicability domain, and because TreeSHAP is exact for it.</w:t>
      </w:r>
    </w:p>
    <w:p>
      <w:pPr>
        <w:pStyle w:val="BodyText"/>
      </w:pPr>
      <w:r>
        <w:t xml:space="preserve">Three choices distinguish the method. The negative class is recovered from censored measurements</w:t>
      </w:r>
      <w:r>
        <w:t xml:space="preserve"> </w:t>
      </w:r>
      <w:r>
        <w:t xml:space="preserve">rather than simulated with decoys, which returns experimentally tested non-binders to 57 endpoints.</w:t>
      </w:r>
      <w:r>
        <w:t xml:space="preserve"> </w:t>
      </w:r>
      <w:r>
        <w:t xml:space="preserve">Decision thresholds are measured on a background pool disjoint from the one that set them, so the</w:t>
      </w:r>
      <w:r>
        <w:t xml:space="preserve"> </w:t>
      </w:r>
      <w:r>
        <w:t xml:space="preserve">reported false-positive rate is an observation rather than the quantile that defined it. Target</w:t>
      </w:r>
      <w:r>
        <w:t xml:space="preserve"> </w:t>
      </w:r>
      <w:r>
        <w:t xml:space="preserve">scores are admitted only in proportion to predicted barrier penetration, so potency at a target a</w:t>
      </w:r>
      <w:r>
        <w:t xml:space="preserve"> </w:t>
      </w:r>
      <w:r>
        <w:t xml:space="preserve">compound cannot reach contributes nothing.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Scaffold-grouped 10-fold cross-validation gives a mean AUROC of 0.925 (0.878 to</w:t>
      </w:r>
      <w:r>
        <w:t xml:space="preserve"> </w:t>
      </w:r>
      <w:r>
        <w:t xml:space="preserve">0.965) across the measured-label classifiers. The binder panel, validated against compounds tested at</w:t>
      </w:r>
      <w:r>
        <w:t xml:space="preserve"> </w:t>
      </w:r>
      <w:r>
        <w:t xml:space="preserve">the same target and found inactive rather than against decoys, reaches a mean AUROC of 0.917 (0.719</w:t>
      </w:r>
      <w:r>
        <w:t xml:space="preserve"> </w:t>
      </w:r>
      <w:r>
        <w:t xml:space="preserve">to 0.985). Expected calibration error falls from 0.080 to 0.015 after isotonic calibration. On 306</w:t>
      </w:r>
      <w:r>
        <w:t xml:space="preserve"> </w:t>
      </w:r>
      <w:r>
        <w:t xml:space="preserve">FDA-curated approved drugs absent from the training source the barrier model reaches AUROC 0.764,</w:t>
      </w:r>
      <w:r>
        <w:t xml:space="preserve"> </w:t>
      </w:r>
      <w:r>
        <w:t xml:space="preserve">and 0.767 on the 227 also distinguishable from training in feature space. On 1,000 compounds with no</w:t>
      </w:r>
      <w:r>
        <w:t xml:space="preserve"> </w:t>
      </w:r>
      <w:r>
        <w:t xml:space="preserve">recorded activity at any modelled target the server stays silent 92.5% of the time; those compounds</w:t>
      </w:r>
      <w:r>
        <w:t xml:space="preserve"> </w:t>
      </w:r>
      <w:r>
        <w:t xml:space="preserve">are presumed rather than proven inactive, so that figure is a lower bound. Ten falsification</w:t>
      </w:r>
      <w:r>
        <w:t xml:space="preserve"> </w:t>
      </w:r>
      <w:r>
        <w:t xml:space="preserve">hypotheses were tested and four were refuted; all are reported, including that the curated pathway</w:t>
      </w:r>
      <w:r>
        <w:t xml:space="preserve"> </w:t>
      </w:r>
      <w:r>
        <w:t xml:space="preserve">edge weights carry no predictive information beyond the graph topology.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server is organ-directed rather than disease-directed: its unifying constraint is the</w:t>
      </w:r>
      <w:r>
        <w:t xml:space="preserve"> </w:t>
      </w:r>
      <w:r>
        <w:t xml:space="preserve">blood-brain barrier, a pharmacokinetic property, and its targets span neurodegeneration, psychiatry,</w:t>
      </w:r>
      <w:r>
        <w:t xml:space="preserve"> </w:t>
      </w:r>
      <w:r>
        <w:t xml:space="preserve">analgesia, sleep and neuroinflammation rather than one disease group. Its core outputs, target</w:t>
      </w:r>
      <w:r>
        <w:t xml:space="preserve"> </w:t>
      </w:r>
      <w:r>
        <w:t xml:space="preserve">engagement and brain exposure, are the same class of quantity as ADMETlab (PMID 38572755) and</w:t>
      </w:r>
      <w:r>
        <w:t xml:space="preserve"> </w:t>
      </w:r>
      <w:r>
        <w:t xml:space="preserve">SwissTargetPrediction (PMID 31106366), both published in this issue. We would welcome the editor’s</w:t>
      </w:r>
      <w:r>
        <w:t xml:space="preserve"> </w:t>
      </w:r>
      <w:r>
        <w:t xml:space="preserve">view on whether this places it within scope.</w:t>
      </w:r>
    </w:p>
    <w:p>
      <w:pPr>
        <w:pStyle w:val="BodyText"/>
      </w:pPr>
      <w:r>
        <w:rPr>
          <w:b/>
          <w:bCs/>
        </w:rPr>
        <w:t xml:space="preserve">Previous publications.</w:t>
      </w:r>
      <w:r>
        <w:t xml:space="preserve"> </w:t>
      </w:r>
      <w:r>
        <w:t xml:space="preserve">None. The method and the server have not been published, in NAR or</w:t>
      </w:r>
      <w:r>
        <w:t xml:space="preserve"> </w:t>
      </w:r>
      <w:r>
        <w:t xml:space="preserve">elsewhere, and no PubMed ID exists for either.</w:t>
      </w:r>
    </w:p>
    <w:p>
      <w:pPr>
        <w:pStyle w:val="BodyText"/>
      </w:pPr>
      <w:r>
        <w:rPr>
          <w:b/>
          <w:bCs/>
        </w:rPr>
        <w:t xml:space="preserve">This is not an update</w:t>
      </w:r>
      <w:r>
        <w:t xml:space="preserve"> </w:t>
      </w:r>
      <w:r>
        <w:t xml:space="preserve">of an application published previously in the Web Server Issue or in any</w:t>
      </w:r>
      <w:r>
        <w:t xml:space="preserve"> </w:t>
      </w:r>
      <w:r>
        <w:t xml:space="preserve">other venue.</w:t>
      </w:r>
    </w:p>
    <w:p>
      <w:pPr>
        <w:pStyle w:val="BodyText"/>
      </w:pPr>
      <w:r>
        <w:rPr>
          <w:b/>
          <w:bCs/>
        </w:rPr>
        <w:t xml:space="preserve">This is not a resubmission.</w:t>
      </w:r>
      <w:r>
        <w:t xml:space="preserve"> </w:t>
      </w:r>
      <w:r>
        <w:t xml:space="preserve">No proposal or manuscript for this server has been submitted to, or</w:t>
      </w:r>
      <w:r>
        <w:t xml:space="preserve"> </w:t>
      </w:r>
      <w:r>
        <w:t xml:space="preserve">rejected by, the Web Server Issue in any previous year.</w:t>
      </w:r>
    </w:p>
    <w:bookmarkEnd w:id="9"/>
    <w:sectPr>
      <w:footnotePr>
        <w:numRestart w:val="eachSect"/>
      </w:footnotePr>
      <w:pgMar w:top="792" w:bottom="792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40" w:lineRule="auto"/>
    </w:pPr>
    <w:rPr>
      <w:rFonts w:ascii="Times New Roman" w:hAnsi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 w:before="80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2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8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8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80"/>
      <w:outlineLvl w:val="2"/>
    </w:pPr>
    <w:rPr>
      <w:rFonts w:cstheme="majorBidi" w:eastAsiaTheme="majorEastAsia" w:ascii="Times New Roman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2026-09-18T06:54:55Z</dcterms:created>
  <dcterms:modified xsi:type="dcterms:W3CDTF">2026-09-18T06:54:55Z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