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3"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60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72 estimators trained on 227,146 measured 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0.0795 to 0.0161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0.948</w:t>
      </w:r>
      <w:r>
        <w:t xml:space="preserve"> </w:t>
      </w:r>
      <w:r>
        <w:t xml:space="preserve">(95% CI 0.932 to 0.960). The binder panel, validated against compounds measured and found inactive at</w:t>
      </w:r>
      <w:r>
        <w:t xml:space="preserve"> </w:t>
      </w:r>
      <w:r>
        <w:t xml:space="preserve">the same target rather than against decoys, reaches a mean AUROC of 0.904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52 targets drive more than one condition and structure alone does not resolve which. BrainSafe AI is</w:t>
      </w:r>
      <w:r>
        <w:t xml:space="preserve"> </w:t>
      </w:r>
      <w:r>
        <w:t xml:space="preserve">freely available without registration at [SERVER URL TO BE</w:t>
      </w:r>
      <w:r>
        <w:t xml:space="preserve"> </w:t>
      </w:r>
      <w:r>
        <w:t xml:space="preserve">SUPPLIED],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Two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227,146 measured compound-endpoint</w:t>
      </w:r>
      <w:r>
        <w:t xml:space="preserve"> </w:t>
      </w:r>
      <w:r>
        <w:t xml:space="preserve">records over 193,536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those sets span from 234 compounds (GluA2)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60 endpoints above 90 per cent active, which is a property</w:t>
      </w:r>
      <w:r>
        <w:t xml:space="preserve"> </w:t>
      </w:r>
      <w:r>
        <w:t xml:space="preserve">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(Figure 2A, B).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sanitised, and represented by a fixed</w:t>
      </w:r>
      <w:r>
        <w:t xml:space="preserve"> </w:t>
      </w:r>
      <w:r>
        <w:t xml:space="preserve">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71 cross-validated endpoints this is 1,420 fitted models standing behind the 72 that</w:t>
      </w:r>
      <w:r>
        <w:t xml:space="preserve"> </w:t>
      </w:r>
      <w:r>
        <w:t xml:space="preserve">are deployed.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0.0795 to</w:t>
      </w:r>
      <w:r>
        <w:t xml:space="preserve"> </w:t>
      </w:r>
      <w:r>
        <w:t xml:space="preserve">0.0161. Each prediction additionally carries a Mondrian conformal interval, which converts the</w:t>
      </w:r>
      <w:r>
        <w:t xml:space="preserve"> </w:t>
      </w:r>
      <w:r>
        <w:t xml:space="preserve">applicability domain from a caveat into a coverage statement (25): empirical coverage is</w:t>
      </w:r>
      <w:r>
        <w:t xml:space="preserve"> </w:t>
      </w:r>
      <w:r>
        <w:t xml:space="preserve">0.887 to 0.920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0.0249 and reaches 0.0631, exceeding its</w:t>
      </w:r>
      <w:r>
        <w:t xml:space="preserve"> </w:t>
      </w:r>
      <w:r>
        <w:t xml:space="preserve">0.05 target for three endpoints, which under the previous procedure was arithmetically impossible.</w:t>
      </w:r>
      <w:r>
        <w:t xml:space="preserve"> </w:t>
      </w:r>
      <w:r>
        <w:t xml:space="preserve">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72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49 binder classifiers are validated not against the decoys used to train them but against</w:t>
      </w:r>
      <w:r>
        <w:t xml:space="preserve"> </w:t>
      </w:r>
      <w:r>
        <w:t xml:space="preserve">compounds experimentally tested at the same target and found inactive. They reach a mean AUROC of</w:t>
      </w:r>
      <w:r>
        <w:t xml:space="preserve"> </w:t>
      </w:r>
      <w:r>
        <w:t xml:space="preserve">0.904 and a mean sensitivity of 0.866 on actives withheld by scaffold, at thresholds constrained</w:t>
      </w:r>
      <w:r>
        <w:t xml:space="preserve"> </w:t>
      </w:r>
      <w:r>
        <w:t xml:space="preserve">simultaneously by held-out measured inactives and by the false-positive rate on a disjoint pool of</w:t>
      </w:r>
      <w:r>
        <w:t xml:space="preserve"> </w:t>
      </w:r>
      <w:r>
        <w:t xml:space="preserve">unrelated chemistry; 47 of 49 are deployed. Measured on that disjoint pool the background</w:t>
      </w:r>
      <w:r>
        <w:t xml:space="preserve"> </w:t>
      </w:r>
      <w:r>
        <w:t xml:space="preserve">false-positive rate has a median of 0.0249.</w:t>
      </w:r>
    </w:p>
    <w:p>
      <w:pPr>
        <w:pStyle w:val="BodyText"/>
      </w:pPr>
      <w:r>
        <w:t xml:space="preserve">The eight measured-label classifiers reach a mean AUROC of 0.958 under the random split and 0.925</w:t>
      </w:r>
      <w:r>
        <w:t xml:space="preserve"> </w:t>
      </w:r>
      <w:r>
        <w:t xml:space="preserve">under the scaffold split (Figure 2C). BACE1 is most robust to chemotype change, losing 0.012 between</w:t>
      </w:r>
      <w:r>
        <w:t xml:space="preserve"> </w:t>
      </w:r>
      <w:r>
        <w:t xml:space="preserve">splits, and MAO-A least, losing 0.065. The four receptor potency regressions reach R² 0.64 to 0.72</w:t>
      </w:r>
      <w:r>
        <w:t xml:space="preserve"> </w:t>
      </w:r>
      <w:r>
        <w:t xml:space="preserve">(random) and 0.46 to 0.61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4.8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0.5016 (random) and 0.5055 (scaffold), with a worst single endpoint of 0.5253.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0.811 (95% CI 0.805 to 0.817), with a per-target median of 0.820 (Figure 2D).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948 returned no actionable disease signal, a specificity of</w:t>
      </w:r>
      <w:r>
        <w:t xml:space="preserve"> </w:t>
      </w:r>
      <w:r>
        <w:t xml:space="preserve">0.948 (95% CI 0.932 to 0.960). Of the 52 false positives, 36 fired on a single condition rather than</w:t>
      </w:r>
      <w:r>
        <w:t xml:space="preserve"> </w:t>
      </w:r>
      <w:r>
        <w:t xml:space="preserve">producing a diffuse profile, and the median score among them was 0.426,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Five pass, including exact</w:t>
      </w:r>
      <w:r>
        <w:t xml:space="preserve"> </w:t>
      </w:r>
      <w:r>
        <w:t xml:space="preserve">reproducibility of a retrained endpoint. The sixth fails: the applicability-domain flag does not</w:t>
      </w:r>
      <w:r>
        <w:t xml:space="preserve"> </w:t>
      </w:r>
      <w:r>
        <w:t xml:space="preserve">separate non-drug-like chemistry from unseen drugs (median maximum similarity 0.44 against 0.48,</w:t>
      </w:r>
      <w:r>
        <w:t xml:space="preserve"> </w:t>
      </w:r>
      <w:r>
        <w:t xml:space="preserve">p = 0.87). It is reported rather than retuned.</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cross-validated endpoints, by 0.038 mean AUROC on the scaffold</w:t>
      </w:r>
      <w:r>
        <w:t xml:space="preserve"> </w:t>
      </w:r>
      <w:r>
        <w:t xml:space="preserve">split.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a set of fifteen external reference compounds the server was correctly</w:t>
      </w:r>
      <w:r>
        <w:t xml:space="preserve"> </w:t>
      </w:r>
      <w:r>
        <w:t xml:space="preserve">silent on 7 of 7 non-CNS controls.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0.804 against a</w:t>
      </w:r>
      <w:r>
        <w:t xml:space="preserve"> </w:t>
      </w:r>
      <w:r>
        <w:t xml:space="preserve">permutation null of 0.157.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The reason is structural rather than a deficiency of fitting, and it is visible in the graph: 27 of</w:t>
      </w:r>
      <w:r>
        <w:t xml:space="preserve"> </w:t>
      </w:r>
      <w:r>
        <w:t xml:space="preserve">the 52 panel targets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never-seen drugs is 4: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0.804 against a</w:t>
      </w:r>
      <w:r>
        <w:t xml:space="preserve"> </w:t>
      </w:r>
      <w:r>
        <w:t xml:space="preserve">permutation null of 0.157. Its curated edge weights do not: uniform and randomly permuted weights</w:t>
      </w:r>
      <w:r>
        <w:t xml:space="preserve"> </w:t>
      </w:r>
      <w:r>
        <w:t xml:space="preserve">score 0.8025 and 0.8023 against 0.8043, so the predictive content lies in the graph topology, and the</w:t>
      </w:r>
      <w:r>
        <w:t xml:space="preserve"> </w:t>
      </w:r>
      <w:r>
        <w:t xml:space="preserve">weights are reported as structure rather than as tuned parameters. The same analysis found a deployed</w:t>
      </w:r>
      <w:r>
        <w:t xml:space="preserve"> </w:t>
      </w:r>
      <w:r>
        <w:t xml:space="preserve">endpoint, Nav1.1, assigning binder probabilities between 0.80 and 0.82 to glucose, urea, acetate and</w:t>
      </w:r>
      <w:r>
        <w:t xml:space="preserve"> </w:t>
      </w:r>
      <w:r>
        <w:t xml:space="preserve">glycine against a threshold of 0.796; it was withdrawn, as was Cav3.2.</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Three limitations bound its use. The applicability-domain flag does not currently separate</w:t>
      </w:r>
      <w:r>
        <w:t xml:space="preserve"> </w:t>
      </w:r>
      <w:r>
        <w:t xml:space="preserve">non-drug-like chemistry from unseen drugs, so the conformal interval and the nearest-analogue</w:t>
      </w:r>
      <w:r>
        <w:t xml:space="preserve"> </w:t>
      </w:r>
      <w:r>
        <w:t xml:space="preserve">distance, rather than the flag, should be read as the statement of confidence. The specificity</w:t>
      </w:r>
      <w:r>
        <w:t xml:space="preserve"> </w:t>
      </w:r>
      <w:r>
        <w:t xml:space="preserve">estimate rests on compounds presumed inactive because nothing is recorded about them, drawn from</w:t>
      </w:r>
      <w:r>
        <w:t xml:space="preserve"> </w:t>
      </w:r>
      <w:r>
        <w:t xml:space="preserve">within the reference library, so it does not bound behaviour on genuinely distant chemistry.</w:t>
      </w:r>
    </w:p>
    <w:p>
      <w:pPr>
        <w:pStyle w:val="BodyText"/>
      </w:pPr>
      <w:r>
        <w:t xml:space="preserve">The third is the disease layer, and it is a limit of the question rather than of the fitting. Clinical</w:t>
      </w:r>
      <w:r>
        <w:t xml:space="preserve"> </w:t>
      </w:r>
      <w:r>
        <w:t xml:space="preserve">indication is not a function of structure: 27 of the 52 panel targets drive more than 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1" w:name="figure-legends"/>
    <w:p>
      <w:pPr>
        <w:pStyle w:val="Heading2"/>
      </w:pPr>
      <w:r>
        <w:t xml:space="preserve">Figure legends</w:t>
      </w:r>
    </w:p>
    <w:p>
      <w:pPr>
        <w:pStyle w:val="CaptionedFigure"/>
      </w:pPr>
      <w:r>
        <w:drawing>
          <wp:inline>
            <wp:extent cx="5334000" cy="3876870"/>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3876870"/>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49-endpoint binder panel and two auxiliary</w:t>
      </w:r>
      <w:r>
        <w:t xml:space="preserve"> </w:t>
      </w:r>
      <w:r>
        <w:t xml:space="preserve">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deployed</w:t>
      </w:r>
      <w:r>
        <w:t xml:space="preserve"> </w:t>
      </w:r>
      <w:r>
        <w:t xml:space="preserve">estimators; each was preceded by twenty fits that never serve a prediction and exist only to measure</w:t>
      </w:r>
      <w:r>
        <w:t xml:space="preserve"> </w:t>
      </w:r>
      <w:r>
        <w:t xml:space="preserve">how the twenty-first behaves on withheld compounds, 1,420 across the panel.</w:t>
      </w:r>
    </w:p>
    <w:p>
      <w:pPr>
        <w:pStyle w:val="CaptionedFigure"/>
      </w:pPr>
      <w:r>
        <w:drawing>
          <wp:inline>
            <wp:extent cx="5334000" cy="3479251"/>
            <wp:effectExtent b="0" l="0" r="0" t="0"/>
            <wp:docPr descr="Figure 2" title="" id="33" name="Picture"/>
            <a:graphic>
              <a:graphicData uri="http://schemas.openxmlformats.org/drawingml/2006/picture">
                <pic:pic>
                  <pic:nvPicPr>
                    <pic:cNvPr descr="figures/Figure5_negative_class.png" id="34" name="Picture"/>
                    <pic:cNvPicPr>
                      <a:picLocks noChangeArrowheads="1" noChangeAspect="1"/>
                    </pic:cNvPicPr>
                  </pic:nvPicPr>
                  <pic:blipFill>
                    <a:blip r:embed="rId32"/>
                    <a:stretch>
                      <a:fillRect/>
                    </a:stretch>
                  </pic:blipFill>
                  <pic:spPr bwMode="auto">
                    <a:xfrm>
                      <a:off x="0" y="0"/>
                      <a:ext cx="5334000" cy="3479251"/>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Recovering the measured negative class. (</w:t>
      </w:r>
      <w:r>
        <w:rPr>
          <w:b/>
          <w:bCs/>
        </w:rPr>
        <w:t xml:space="preserve">A</w:t>
      </w:r>
      <w:r>
        <w:t xml:space="preserve">) A censored bound settles a label</w:t>
      </w:r>
      <w:r>
        <w:t xml:space="preserve"> </w:t>
      </w:r>
      <w:r>
        <w:t xml:space="preserve">whenever the whole interval it defines falls on one side of the activity cut;</w:t>
      </w:r>
      <w:r>
        <w:t xml:space="preserve"> </w:t>
      </w:r>
      <w:r>
        <w:rPr>
          <w:rStyle w:val="VerbatimChar"/>
        </w:rPr>
        <w:t xml:space="preserve">IC50 &gt; 10 uM</w:t>
      </w:r>
      <w:r>
        <w:t xml:space="preserve"> </w:t>
      </w:r>
      <w:r>
        <w:t xml:space="preserve">is a</w:t>
      </w:r>
      <w:r>
        <w:t xml:space="preserve"> </w:t>
      </w:r>
      <w:r>
        <w:t xml:space="preserve">measured non-binder, while</w:t>
      </w:r>
      <w:r>
        <w:t xml:space="preserve"> </w:t>
      </w:r>
      <w:r>
        <w:rPr>
          <w:rStyle w:val="VerbatimChar"/>
        </w:rPr>
        <w:t xml:space="preserve">IC50 &gt; 100 nM</w:t>
      </w:r>
      <w:r>
        <w:t xml:space="preserve"> </w:t>
      </w:r>
      <w:r>
        <w:t xml:space="preserve">spans both classes and is discarded as undecidable rather</w:t>
      </w:r>
      <w:r>
        <w:t xml:space="preserve"> </w:t>
      </w:r>
      <w:r>
        <w:t xml:space="preserve">than guessed at. (</w:t>
      </w:r>
      <w:r>
        <w:rPr>
          <w:b/>
          <w:bCs/>
        </w:rPr>
        <w:t xml:space="preserve">B</w:t>
      </w:r>
      <w:r>
        <w:t xml:space="preserve">) Class balance for the 57 endpoints extended: 21,994 measured non-binders</w:t>
      </w:r>
      <w:r>
        <w:t xml:space="preserve"> </w:t>
      </w:r>
      <w:r>
        <w:t xml:space="preserve">added, endpoints above 90 per cent active reduced from 35 to 13. (</w:t>
      </w:r>
      <w:r>
        <w:rPr>
          <w:b/>
          <w:bCs/>
        </w:rPr>
        <w:t xml:space="preserve">C</w:t>
      </w:r>
      <w:r>
        <w:t xml:space="preserve">) The effect per endpoint</w:t>
      </w:r>
      <w:r>
        <w:t xml:space="preserve"> </w:t>
      </w:r>
      <w:r>
        <w:t xml:space="preserve">against the panel as it stood immediately before the merge. Classification becomes slightly harder</w:t>
      </w:r>
      <w:r>
        <w:t xml:space="preserve"> </w:t>
      </w:r>
      <w:r>
        <w:t xml:space="preserve">and regression improves, both in the expected direction, because real non-binders are harder</w:t>
      </w:r>
      <w:r>
        <w:t xml:space="preserve"> </w:t>
      </w:r>
      <w:r>
        <w:t xml:space="preserve">negatives than the decoys they join while a censored bound is a real low-potency anchor. BBB and the</w:t>
      </w:r>
      <w:r>
        <w:t xml:space="preserve"> </w:t>
      </w:r>
      <w:r>
        <w:t xml:space="preserve">antioxidant endpoint are flat at exactly zero, not missing, because neither draws from a ChEMBL</w:t>
      </w:r>
      <w:r>
        <w:t xml:space="preserve"> </w:t>
      </w:r>
      <w:r>
        <w:t xml:space="preserve">target.</w:t>
      </w:r>
    </w:p>
    <w:p>
      <w:pPr>
        <w:pStyle w:val="CaptionedFigure"/>
      </w:pPr>
      <w:r>
        <w:drawing>
          <wp:inline>
            <wp:extent cx="5334000" cy="3455602"/>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455602"/>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361052"/>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361052"/>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S1 to S4 give the feature vector computed for a worked molecule, the two</w:t>
      </w:r>
      <w:r>
        <w:t xml:space="preserve"> </w:t>
      </w:r>
      <w:r>
        <w:t xml:space="preserve">cross-validation schemes, the three disjoint background pools and the complete 49-endpoint binder</w:t>
      </w:r>
      <w:r>
        <w:t xml:space="preserve"> </w:t>
      </w:r>
      <w:r>
        <w:t xml:space="preserve">panel.</w:t>
      </w:r>
    </w:p>
    <w:bookmarkEnd w:id="41"/>
    <w:bookmarkStart w:id="42"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2026-08-17T06:58:20Z</dcterms:created>
  <dcterms:modified xsi:type="dcterms:W3CDTF">2026-08-17T06:58:20Z</dcterms:modified>
</cp:coreProperties>
</file>

<file path=docProps/custom.xml><?xml version="1.0" encoding="utf-8"?>
<Properties xmlns="http://schemas.openxmlformats.org/officeDocument/2006/custom-properties" xmlns:vt="http://schemas.openxmlformats.org/officeDocument/2006/docPropsVTypes"/>
</file>