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42.png" ContentType="image/png"/>
  <Override PartName="/word/media/rId48.png" ContentType="image/png"/>
  <Override PartName="/word/media/rId51.png" ContentType="image/png"/>
  <Override PartName="/word/media/rId4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CaptionedFigure"/>
      </w:pPr>
      <w:r>
        <w:drawing>
          <wp:inline>
            <wp:extent cx="5727700" cy="3630511"/>
            <wp:effectExtent b="0" l="0" r="0" t="0"/>
            <wp:docPr descr="Graphical abstract" title="" id="19" name="Picture"/>
            <a:graphic>
              <a:graphicData uri="http://schemas.openxmlformats.org/drawingml/2006/picture">
                <pic:pic>
                  <pic:nvPicPr>
                    <pic:cNvPr descr="figures/GraphicalAbstract.png" id="20" name="Picture"/>
                    <pic:cNvPicPr>
                      <a:picLocks noChangeArrowheads="1" noChangeAspect="1"/>
                    </pic:cNvPicPr>
                  </pic:nvPicPr>
                  <pic:blipFill>
                    <a:blip r:embed="rId18"/>
                    <a:stretch>
                      <a:fillRect/>
                    </a:stretch>
                  </pic:blipFill>
                  <pic:spPr bwMode="auto">
                    <a:xfrm>
                      <a:off x="0" y="0"/>
                      <a:ext cx="5727700" cy="3630511"/>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i/>
          <w:iCs/>
        </w:rPr>
        <w:t xml:space="preserve">Reading copy only: the submission itself carries the graphical abstract as the separate file NAR requires, not inline. This copy embeds it here for circulation.</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scaffold-grouped cross-validated and carries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 and</w:t>
      </w:r>
      <w:r>
        <w:t xml:space="preserve"> </w:t>
      </w:r>
      <w:r>
        <w:t xml:space="preserve">the server reports silence rather than a guess for chemistry 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21"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The measured-label classifiers are validated</w:t>
      </w:r>
      <w:r>
        <w:t xml:space="preserve"> </w:t>
      </w:r>
      <w:r>
        <w:t xml:space="preserve">under both random and scaffold-grouped 10-fold cross-validation: mean AUROC 0.958 and 0.925</w:t>
      </w:r>
      <w:r>
        <w:t xml:space="preserve"> </w:t>
      </w:r>
      <w:r>
        <w:t xml:space="preserve">respectively,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22"/>
    <w:bookmarkStart w:id="29" w:name="materials-and-methods"/>
    <w:p>
      <w:pPr>
        <w:pStyle w:val="Heading2"/>
      </w:pPr>
      <w:r>
        <w:t xml:space="preserve">Materials and Methods</w:t>
      </w:r>
    </w:p>
    <w:bookmarkStart w:id="23"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23"/>
    <w:bookmarkStart w:id="24"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24"/>
    <w:bookmarkStart w:id="25"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25"/>
    <w:bookmarkStart w:id="26"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26"/>
    <w:bookmarkStart w:id="27"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at the threshold the server currently deploys, the background false-positive rate has a</w:t>
      </w:r>
      <w:r>
        <w:t xml:space="preserve"> </w:t>
      </w:r>
      <w:r>
        <w:t xml:space="preserve">median of 0.0262 across all 47 deployed endpoints and a maximum of 0.0512 at HT2A, exceeding the 0.05</w:t>
      </w:r>
      <w:r>
        <w:t xml:space="preserve"> </w:t>
      </w:r>
      <w:r>
        <w:t xml:space="preserve">target at two endpoints (HT2A and D2); under the previous procedure, where the same pool set the</w:t>
      </w:r>
      <w:r>
        <w:t xml:space="preserve"> </w:t>
      </w:r>
      <w:r>
        <w:t xml:space="preserve">threshold and measured the rate, the two could not disagree by construction, so a genuinely disjoint</w:t>
      </w:r>
      <w:r>
        <w:t xml:space="preserve"> </w:t>
      </w:r>
      <w:r>
        <w:t xml:space="preserve">measurement exceeding its target, if only slightly, is the expected behaviour of a real constraint</w:t>
      </w:r>
      <w:r>
        <w:t xml:space="preserve"> </w:t>
      </w:r>
      <w:r>
        <w:t xml:space="preserve">rather than evidence against it.</w:t>
      </w:r>
    </w:p>
    <w:bookmarkEnd w:id="27"/>
    <w:bookmarkStart w:id="28"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28"/>
    <w:bookmarkEnd w:id="29"/>
    <w:bookmarkStart w:id="36"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30"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30"/>
    <w:bookmarkStart w:id="31"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31"/>
    <w:bookmarkStart w:id="32"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32"/>
    <w:bookmarkStart w:id="33"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33"/>
    <w:bookmarkStart w:id="34"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34"/>
    <w:bookmarkStart w:id="35"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35"/>
    <w:bookmarkEnd w:id="36"/>
    <w:bookmarkStart w:id="37"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underrepresented</w:t>
      </w:r>
      <w:r>
        <w:t xml:space="preserve"> </w:t>
      </w:r>
      <w:r>
        <w:t xml:space="preserve">in it: withanolide A, a steroidal natural product, submitted to the server returns a maximum Tanimoto</w:t>
      </w:r>
      <w:r>
        <w:t xml:space="preserve"> </w:t>
      </w:r>
      <w:r>
        <w:t xml:space="preserve">of 0.43 to its nearest measured analogue and no engagement call. That distance is close enough to be</w:t>
      </w:r>
      <w:r>
        <w:t xml:space="preserve"> </w:t>
      </w:r>
      <w:r>
        <w:t xml:space="preserve">called in domain rather than clearly outside it, and the expected recall the interface reports at</w:t>
      </w:r>
      <w:r>
        <w:t xml:space="preserve"> </w:t>
      </w:r>
      <w:r>
        <w:t xml:space="preserve">that distance is 0.55 on 5,228 comparably distant test actives, so the silence here is moderate</w:t>
      </w:r>
      <w:r>
        <w:t xml:space="preserve"> </w:t>
      </w:r>
      <w:r>
        <w:t xml:space="preserve">rather than uninformative evidence of inactivity: exactly the graded reading the applicability-domain</w:t>
      </w:r>
      <w:r>
        <w:t xml:space="preserve"> </w:t>
      </w:r>
      <w:r>
        <w:t xml:space="preserve">distance is designed to support, rather than a binary in-or-out call. Measured activity for such</w:t>
      </w:r>
      <w:r>
        <w:t xml:space="preserve"> </w:t>
      </w:r>
      <w:r>
        <w:t xml:space="preserve">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37"/>
    <w:bookmarkStart w:id="38"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38"/>
    <w:bookmarkStart w:id="39"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(e.g. conceptualisation, methodology, software, validation, writing). This</w:t>
      </w:r>
      <w:r>
        <w:t xml:space="preserve"> </w:t>
      </w:r>
      <w:r>
        <w:t xml:space="preserve">cannot be written from the repository the way the rest of this manuscript is, since it is a</w:t>
      </w:r>
      <w:r>
        <w:t xml:space="preserve"> </w:t>
      </w:r>
      <w:r>
        <w:t xml:space="preserve">statement about people rather than about artefacts, and must be supplied by the author team.</w:t>
      </w:r>
    </w:p>
    <w:bookmarkEnd w:id="39"/>
    <w:bookmarkStart w:id="40" w:name="funding"/>
    <w:p>
      <w:pPr>
        <w:pStyle w:val="Heading2"/>
      </w:pPr>
      <w:r>
        <w:t xml:space="preserve">Funding</w:t>
      </w:r>
    </w:p>
    <w:p>
      <w:pPr>
        <w:pStyle w:val="FirstParagraph"/>
      </w:pPr>
      <w:r>
        <w:t xml:space="preserve">[TO BE SUPPLIED]</w:t>
      </w:r>
    </w:p>
    <w:bookmarkEnd w:id="40"/>
    <w:bookmarkStart w:id="41"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41"/>
    <w:bookmarkStart w:id="57" w:name="figure-legends"/>
    <w:p>
      <w:pPr>
        <w:pStyle w:val="Heading2"/>
      </w:pPr>
      <w:r>
        <w:t xml:space="preserve">Figure legends</w:t>
      </w:r>
    </w:p>
    <w:p>
      <w:pPr>
        <w:pStyle w:val="CaptionedFigure"/>
      </w:pPr>
      <w:r>
        <w:drawing>
          <wp:inline>
            <wp:extent cx="5727700" cy="4801771"/>
            <wp:effectExtent b="0" l="0" r="0" t="0"/>
            <wp:docPr descr="Figure 1" title="" id="43" name="Picture"/>
            <a:graphic>
              <a:graphicData uri="http://schemas.openxmlformats.org/drawingml/2006/picture">
                <pic:pic>
                  <pic:nvPicPr>
                    <pic:cNvPr descr="figures/Figure1_architecture.png" id="44" name="Picture"/>
                    <pic:cNvPicPr>
                      <a:picLocks noChangeArrowheads="1" noChangeAspect="1"/>
                    </pic:cNvPicPr>
                  </pic:nvPicPr>
                  <pic:blipFill>
                    <a:blip r:embed="rId42"/>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 estimators, 75 in total, of which 70</w:t>
      </w:r>
      <w:r>
        <w:t xml:space="preserve"> </w:t>
      </w:r>
      <w:r>
        <w:t xml:space="preserve">are deployed; each is the last of several fits that never serve a prediction and exist only to</w:t>
      </w:r>
      <w:r>
        <w:t xml:space="preserve"> </w:t>
      </w:r>
      <w:r>
        <w:t xml:space="preserve">measure how it behaves on compounds it has not seen. A target-potency, exposure or safety endpoint,</w:t>
      </w:r>
      <w:r>
        <w:t xml:space="preserve"> </w:t>
      </w:r>
      <w:r>
        <w:t xml:space="preserve">shown here, is validated under both regimes and is 21 fits, 10 random and 10 scaffold folds plus the</w:t>
      </w:r>
      <w:r>
        <w:t xml:space="preserve"> </w:t>
      </w:r>
      <w:r>
        <w:t xml:space="preserve">deployed model; a binder classifier, validated under the scaffold regime alone, is 11. 960 fits stand</w:t>
      </w:r>
      <w:r>
        <w:t xml:space="preserve"> </w:t>
      </w:r>
      <w:r>
        <w:t xml:space="preserve">behind the deployed panel in total.</w:t>
      </w:r>
    </w:p>
    <w:p>
      <w:pPr>
        <w:pStyle w:val="CaptionedFigure"/>
      </w:pPr>
      <w:r>
        <w:drawing>
          <wp:inline>
            <wp:extent cx="5727700" cy="4397607"/>
            <wp:effectExtent b="0" l="0" r="0" t="0"/>
            <wp:docPr descr="Figure 2" title="" id="46" name="Picture"/>
            <a:graphic>
              <a:graphicData uri="http://schemas.openxmlformats.org/drawingml/2006/picture">
                <pic:pic>
                  <pic:nvPicPr>
                    <pic:cNvPr descr="figures/Figure9_model_atlas.png" id="47" name="Picture"/>
                    <pic:cNvPicPr>
                      <a:picLocks noChangeArrowheads="1" noChangeAspect="1"/>
                    </pic:cNvPicPr>
                  </pic:nvPicPr>
                  <pic:blipFill>
                    <a:blip r:embed="rId45"/>
                    <a:stretch>
                      <a:fillRect/>
                    </a:stretch>
                  </pic:blipFill>
                  <pic:spPr bwMode="auto">
                    <a:xfrm>
                      <a:off x="0" y="0"/>
                      <a:ext cx="5727700" cy="439760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49" name="Picture"/>
            <a:graphic>
              <a:graphicData uri="http://schemas.openxmlformats.org/drawingml/2006/picture">
                <pic:pic>
                  <pic:nvPicPr>
                    <pic:cNvPr descr="figures/Figure6_validation.png" id="50" name="Picture"/>
                    <pic:cNvPicPr>
                      <a:picLocks noChangeArrowheads="1" noChangeAspect="1"/>
                    </pic:cNvPicPr>
                  </pic:nvPicPr>
                  <pic:blipFill>
                    <a:blip r:embed="rId48"/>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727700" cy="2991917"/>
            <wp:effectExtent b="0" l="0" r="0" t="0"/>
            <wp:docPr descr="Figure 4" title="" id="52" name="Picture"/>
            <a:graphic>
              <a:graphicData uri="http://schemas.openxmlformats.org/drawingml/2006/picture">
                <pic:pic>
                  <pic:nvPicPr>
                    <pic:cNvPr descr="figures/Figure8_use_case.png" id="53" name="Picture"/>
                    <pic:cNvPicPr>
                      <a:picLocks noChangeArrowheads="1" noChangeAspect="1"/>
                    </pic:cNvPicPr>
                  </pic:nvPicPr>
                  <pic:blipFill>
                    <a:blip r:embed="rId5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55" name="Picture"/>
            <a:graphic>
              <a:graphicData uri="http://schemas.openxmlformats.org/drawingml/2006/picture">
                <pic:pic>
                  <pic:nvPicPr>
                    <pic:cNvPr descr="figures/Figure11_external_validation.png" id="56" name="Picture"/>
                    <pic:cNvPicPr>
                      <a:picLocks noChangeArrowheads="1" noChangeAspect="1"/>
                    </pic:cNvPicPr>
                  </pic:nvPicPr>
                  <pic:blipFill>
                    <a:blip r:embed="rId54"/>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57"/>
    <w:bookmarkStart w:id="58"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58"/>
    <w:bookmarkEnd w:id="59"/>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2026-09-16T09:55:10Z</dcterms:created>
  <dcterms:modified xsi:type="dcterms:W3CDTF">2026-09-16T09:55:10Z</dcterms:modified>
</cp:coreProperties>
</file>

<file path=docProps/custom.xml><?xml version="1.0" encoding="utf-8"?>
<Properties xmlns="http://schemas.openxmlformats.org/officeDocument/2006/custom-properties" xmlns:vt="http://schemas.openxmlformats.org/officeDocument/2006/docPropsVTypes"/>
</file>