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07D5C" w14:textId="77777777" w:rsidR="00F303C4" w:rsidRDefault="00000000">
      <w:pPr>
        <w:jc w:val="center"/>
      </w:pPr>
      <w:r>
        <w:rPr>
          <w:b/>
          <w:color w:val="0D2137"/>
          <w:sz w:val="32"/>
        </w:rPr>
        <w:t>Request for Institutional Hosting of SAI-CNS</w:t>
      </w:r>
    </w:p>
    <w:p w14:paraId="3F25F2B6" w14:textId="77777777" w:rsidR="00F303C4" w:rsidRDefault="00000000">
      <w:pPr>
        <w:spacing w:after="320"/>
        <w:jc w:val="center"/>
      </w:pPr>
      <w:r>
        <w:rPr>
          <w:i/>
          <w:sz w:val="21"/>
        </w:rPr>
        <w:t>A web server being prepared for submission to Nucleic Acids Research</w:t>
      </w:r>
    </w:p>
    <w:p w14:paraId="2DDD041D" w14:textId="77777777" w:rsidR="00F303C4" w:rsidRDefault="00000000">
      <w:r>
        <w:rPr>
          <w:b/>
        </w:rPr>
        <w:t>Subject: Institutional hosting for SAI-CNS, a web server being submitted to Nucleic Acids Research</w:t>
      </w:r>
    </w:p>
    <w:p w14:paraId="1AF46592" w14:textId="77777777" w:rsidR="00F303C4" w:rsidRDefault="00000000">
      <w:pPr>
        <w:spacing w:before="280" w:after="80"/>
      </w:pPr>
      <w:r>
        <w:rPr>
          <w:b/>
          <w:color w:val="0D2137"/>
          <w:sz w:val="26"/>
        </w:rPr>
        <w:t>What SAI-CNS does</w:t>
      </w:r>
    </w:p>
    <w:p w14:paraId="2CE963F0" w14:textId="77777777" w:rsidR="00F303C4" w:rsidRDefault="00000000">
      <w:r>
        <w:t>SAI-CNS predicts, from a chemical structure, whether a small molecule reaches the human brain, what molecular targets it engages there, and which neurological conditions those mechanisms touch. It covers 54 molecular targets, nine ADME and exposure endpoints, blood-brain-barrier penetration and a cardiac safety endpoint. It is intended for researchers prioritising compounds in early CNS drug discovery. It is open source under the MIT licence, and developed under the SAI-Net initiative at SSSIHL.</w:t>
      </w:r>
    </w:p>
    <w:p w14:paraId="10ABB61F" w14:textId="1B4DCADD" w:rsidR="00F303C4" w:rsidRDefault="00000000">
      <w:pPr>
        <w:spacing w:before="280" w:after="80"/>
      </w:pPr>
      <w:r>
        <w:rPr>
          <w:b/>
          <w:color w:val="0D2137"/>
          <w:sz w:val="26"/>
        </w:rPr>
        <w:t>Why hosting is a journal requirement</w:t>
      </w:r>
      <w:r w:rsidR="00C95907">
        <w:rPr>
          <w:b/>
          <w:color w:val="0D2137"/>
          <w:sz w:val="26"/>
        </w:rPr>
        <w:t>:</w:t>
      </w:r>
    </w:p>
    <w:p w14:paraId="26768520" w14:textId="77777777" w:rsidR="00F303C4" w:rsidRDefault="00000000">
      <w:r>
        <w:t>For this class of publication a working public server is not supplementary material: it is the object being peer reviewed. The journal's own instructions require that the server:</w:t>
      </w:r>
    </w:p>
    <w:p w14:paraId="2BDDE981" w14:textId="77777777" w:rsidR="00F303C4" w:rsidRDefault="00000000">
      <w:pPr>
        <w:pStyle w:val="ListBullet"/>
        <w:spacing w:after="60"/>
      </w:pPr>
      <w:r>
        <w:t>is functional at the time of submission, and reviewers will use it;</w:t>
      </w:r>
    </w:p>
    <w:p w14:paraId="7B53BB46" w14:textId="77777777" w:rsidR="00F303C4" w:rsidRDefault="00000000">
      <w:pPr>
        <w:pStyle w:val="ListBullet"/>
        <w:spacing w:after="60"/>
      </w:pPr>
      <w:r>
        <w:t>is reached through a web browser over HTTPS on port 443;</w:t>
      </w:r>
    </w:p>
    <w:p w14:paraId="56445C39" w14:textId="77777777" w:rsidR="00F303C4" w:rsidRDefault="00000000">
      <w:pPr>
        <w:pStyle w:val="ListBullet"/>
        <w:spacing w:after="60"/>
      </w:pPr>
      <w:r>
        <w:t>requires no login, no registration and no email address from users;</w:t>
      </w:r>
    </w:p>
    <w:p w14:paraId="1792D0D9" w14:textId="77777777" w:rsidR="00F303C4" w:rsidRDefault="00000000">
      <w:pPr>
        <w:pStyle w:val="ListBullet"/>
        <w:spacing w:after="60"/>
      </w:pPr>
      <w:r>
        <w:t>provides sample data so a reviewer can try it immediately;</w:t>
      </w:r>
    </w:p>
    <w:p w14:paraId="7662DC03" w14:textId="77777777" w:rsidR="00F303C4" w:rsidRDefault="00000000">
      <w:pPr>
        <w:pStyle w:val="ListBullet"/>
        <w:spacing w:after="60"/>
      </w:pPr>
      <w:r>
        <w:t>displays a standard licence on its landing page;</w:t>
      </w:r>
    </w:p>
    <w:p w14:paraId="499F4E5C" w14:textId="77777777" w:rsidR="00F303C4" w:rsidRDefault="00000000">
      <w:pPr>
        <w:pStyle w:val="ListBullet"/>
        <w:spacing w:after="60"/>
      </w:pPr>
      <w:r>
        <w:t>is maintained for at least five years.</w:t>
      </w:r>
    </w:p>
    <w:p w14:paraId="7F8DEF38" w14:textId="77777777" w:rsidR="00F303C4" w:rsidRDefault="00000000">
      <w:r>
        <w:t>The five-year maintenance expectation is the reason a personal or student account is not an appropriate home. The commitment is institutional in nature, and reviewers read it that way.</w:t>
      </w:r>
    </w:p>
    <w:p w14:paraId="1F27758B" w14:textId="126C38A2" w:rsidR="00F303C4" w:rsidRDefault="00000000" w:rsidP="00C95907">
      <w:r>
        <w:t>This is also how comparable tools are hosted. KEGG runs on Kyoto University's Institute for Chemical Research supercomputer facility. SwissTargetPrediction is operated by the University of Lausanne together with the Swiss Institute of Bioinformatics, whose stated position is that such resources need to be hosted on dedicated computational infrastructures and supported by professional staff. MetaboAnalyst runs on dedicated cloud infrastructure with additional compute nodes at McGill University. None of these runs on a free or personal service.</w:t>
      </w:r>
    </w:p>
    <w:p w14:paraId="47D52359" w14:textId="77777777" w:rsidR="00F303C4" w:rsidRDefault="00000000">
      <w:r>
        <w:rPr>
          <w:b/>
        </w:rPr>
        <w:t>We have also already satisfied most of the journal's server requirements: no login, sample data on the landing page, and the licence displayed. The only requirement we cannot meet ourselves is a public HTTPS address.</w:t>
      </w:r>
    </w:p>
    <w:p w14:paraId="335106E4" w14:textId="1B2AF2BD" w:rsidR="00F303C4" w:rsidRDefault="00000000">
      <w:r>
        <w:t>The resource requirement</w:t>
      </w:r>
      <w:r w:rsidR="00C95907">
        <w:t>s are</w:t>
      </w:r>
      <w:r>
        <w:t>:</w:t>
      </w:r>
    </w:p>
    <w:tbl>
      <w:tblPr>
        <w:tblStyle w:val="LightGrid-Accent1"/>
        <w:tblW w:w="0" w:type="auto"/>
        <w:tblLook w:val="04A0" w:firstRow="1" w:lastRow="0" w:firstColumn="1" w:lastColumn="0" w:noHBand="0" w:noVBand="1"/>
      </w:tblPr>
      <w:tblGrid>
        <w:gridCol w:w="3969"/>
        <w:gridCol w:w="5102"/>
      </w:tblGrid>
      <w:tr w:rsidR="00F303C4" w14:paraId="2F061E98" w14:textId="77777777" w:rsidTr="00F303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468237D6" w14:textId="77777777" w:rsidR="00F303C4" w:rsidRDefault="00000000">
            <w:pPr>
              <w:spacing w:after="40"/>
            </w:pPr>
            <w:r>
              <w:rPr>
                <w:sz w:val="20"/>
              </w:rPr>
              <w:t>Memory</w:t>
            </w:r>
          </w:p>
        </w:tc>
        <w:tc>
          <w:tcPr>
            <w:tcW w:w="5102" w:type="dxa"/>
          </w:tcPr>
          <w:p w14:paraId="0CA4F2DF" w14:textId="77777777" w:rsidR="00F303C4" w:rsidRDefault="00000000">
            <w:pPr>
              <w:spacing w:after="40"/>
              <w:cnfStyle w:val="100000000000" w:firstRow="1" w:lastRow="0" w:firstColumn="0" w:lastColumn="0" w:oddVBand="0" w:evenVBand="0" w:oddHBand="0" w:evenHBand="0" w:firstRowFirstColumn="0" w:firstRowLastColumn="0" w:lastRowFirstColumn="0" w:lastRowLastColumn="0"/>
            </w:pPr>
            <w:r>
              <w:rPr>
                <w:sz w:val="20"/>
              </w:rPr>
              <w:t>2.5 GB resident while serving</w:t>
            </w:r>
          </w:p>
        </w:tc>
      </w:tr>
      <w:tr w:rsidR="00F303C4" w14:paraId="1FE479DC" w14:textId="77777777" w:rsidTr="00F3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8D06EEF" w14:textId="77777777" w:rsidR="00F303C4" w:rsidRDefault="00000000">
            <w:pPr>
              <w:spacing w:after="40"/>
            </w:pPr>
            <w:r>
              <w:rPr>
                <w:sz w:val="20"/>
              </w:rPr>
              <w:t>CPU</w:t>
            </w:r>
          </w:p>
        </w:tc>
        <w:tc>
          <w:tcPr>
            <w:tcW w:w="5102" w:type="dxa"/>
          </w:tcPr>
          <w:p w14:paraId="0F3C85C4" w14:textId="77777777" w:rsidR="00F303C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2 cores is sufficient; it is not a parallel workload</w:t>
            </w:r>
          </w:p>
        </w:tc>
      </w:tr>
      <w:tr w:rsidR="00F303C4" w14:paraId="0429DA05" w14:textId="77777777" w:rsidTr="00F303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1B23B59B" w14:textId="77777777" w:rsidR="00F303C4" w:rsidRDefault="00000000">
            <w:pPr>
              <w:spacing w:after="40"/>
            </w:pPr>
            <w:r>
              <w:rPr>
                <w:sz w:val="20"/>
              </w:rPr>
              <w:t>Disk</w:t>
            </w:r>
          </w:p>
        </w:tc>
        <w:tc>
          <w:tcPr>
            <w:tcW w:w="5102" w:type="dxa"/>
          </w:tcPr>
          <w:p w14:paraId="43FAB621" w14:textId="77777777" w:rsidR="00F303C4" w:rsidRDefault="00000000">
            <w:pPr>
              <w:spacing w:after="40"/>
              <w:cnfStyle w:val="000000010000" w:firstRow="0" w:lastRow="0" w:firstColumn="0" w:lastColumn="0" w:oddVBand="0" w:evenVBand="0" w:oddHBand="0" w:evenHBand="1" w:firstRowFirstColumn="0" w:firstRowLastColumn="0" w:lastRowFirstColumn="0" w:lastRowLastColumn="0"/>
            </w:pPr>
            <w:r>
              <w:rPr>
                <w:sz w:val="20"/>
              </w:rPr>
              <w:t>about 5 GB, including the trained models</w:t>
            </w:r>
          </w:p>
        </w:tc>
      </w:tr>
      <w:tr w:rsidR="00F303C4" w14:paraId="1B8251F6" w14:textId="77777777" w:rsidTr="00F303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9" w:type="dxa"/>
          </w:tcPr>
          <w:p w14:paraId="549DB6F9" w14:textId="77777777" w:rsidR="00F303C4" w:rsidRDefault="00000000">
            <w:pPr>
              <w:spacing w:after="40"/>
            </w:pPr>
            <w:r>
              <w:rPr>
                <w:sz w:val="20"/>
              </w:rPr>
              <w:t>Traffic</w:t>
            </w:r>
          </w:p>
        </w:tc>
        <w:tc>
          <w:tcPr>
            <w:tcW w:w="5102" w:type="dxa"/>
          </w:tcPr>
          <w:p w14:paraId="41816166" w14:textId="77777777" w:rsidR="00F303C4" w:rsidRDefault="00000000">
            <w:pPr>
              <w:spacing w:after="40"/>
              <w:cnfStyle w:val="000000100000" w:firstRow="0" w:lastRow="0" w:firstColumn="0" w:lastColumn="0" w:oddVBand="0" w:evenVBand="0" w:oddHBand="1" w:evenHBand="0" w:firstRowFirstColumn="0" w:firstRowLastColumn="0" w:lastRowFirstColumn="0" w:lastRowLastColumn="0"/>
            </w:pPr>
            <w:r>
              <w:rPr>
                <w:sz w:val="20"/>
              </w:rPr>
              <w:t>low; this is a research tool, not a consumer service</w:t>
            </w:r>
          </w:p>
        </w:tc>
      </w:tr>
    </w:tbl>
    <w:p w14:paraId="718EFDEA" w14:textId="77777777" w:rsidR="00F303C4" w:rsidRDefault="00F303C4">
      <w:pPr>
        <w:spacing w:after="40"/>
      </w:pPr>
    </w:p>
    <w:p w14:paraId="15AFF904" w14:textId="77777777" w:rsidR="00F303C4" w:rsidRDefault="00000000">
      <w:r>
        <w:lastRenderedPageBreak/>
        <w:t>Concretely, we would ask the Institute for either:</w:t>
      </w:r>
    </w:p>
    <w:p w14:paraId="1AF0BD70" w14:textId="77777777" w:rsidR="00F303C4" w:rsidRDefault="00000000">
      <w:pPr>
        <w:pStyle w:val="ListNumber"/>
      </w:pPr>
      <w:r>
        <w:t>a small virtual machine that stays powered on, with 4 GB of RAM and 2 cores, together with a public hostname under the Institute domain and a TLS certificate, for example saicns.sssihl.edu.in; or</w:t>
      </w:r>
    </w:p>
    <w:p w14:paraId="20A020E5" w14:textId="77777777" w:rsidR="00F303C4" w:rsidRDefault="00000000">
      <w:pPr>
        <w:pStyle w:val="ListNumber"/>
      </w:pPr>
      <w:r>
        <w:t>if a public address cannot be allocated, permission to run an outbound-only secure tunnel from an internal machine. This requires no public IP, no inbound firewall change and no open port, as the connection is established from inside the network outward.</w:t>
      </w:r>
    </w:p>
    <w:p w14:paraId="3A1AB54D" w14:textId="77777777" w:rsidR="00F303C4" w:rsidRDefault="00000000">
      <w:r>
        <w:t>We are currently running the server on an HPC node for testing only. I want to be explicit that we do not regard that as an appropriate long-term home: it is a shared login node, a permanent web service there would compete with other users' work, and it is not reachable from outside the Institute network in any case.</w:t>
      </w:r>
    </w:p>
    <w:p w14:paraId="0538852A" w14:textId="5034F353" w:rsidR="00F303C4" w:rsidRDefault="00000000">
      <w:r>
        <w:t>The server would carry an Institute address and would be cited by that address in a journal whose Web Server Issue is among the most widely used resources in computational biology. The maintenance commitment would rest with the Institute rather than with an individual student account, which is both what the journal expects and what makes the resource durable after I complete my degree.</w:t>
      </w:r>
    </w:p>
    <w:p w14:paraId="122629BF" w14:textId="77777777" w:rsidR="00F303C4" w:rsidRDefault="00000000">
      <w:r>
        <w:t>The server must be live and public when the proposal is sent, because the editors check it. Hosting is therefore the one blocker between us and starting the submission process, not something that can follow acceptance.</w:t>
      </w:r>
    </w:p>
    <w:p w14:paraId="213B6C91" w14:textId="77777777" w:rsidR="00F303C4" w:rsidRDefault="00000000">
      <w:r>
        <w:t>A 4 GB always-on container is roughly 25 to 35 US dollars per month on Google Cloud Run or Microsoft Azure, so about 1,500 to 2,100 dollars over the five-year maintenance period. Free tiers were tested and do not fit: Cloudflare Workers caps an instance at 128 MB, Streamlit Community Cloud at 2.7 GB which is below what loading completes with, and Hugging Face's free allowance for this account is now zero. An Azure for Students subscription was obtained and tried; its 100 dollar credit would cover roughly three months, and it blocks the cloud build service the deployment needs.</w:t>
      </w:r>
    </w:p>
    <w:p w14:paraId="21939A92" w14:textId="3065E5FD" w:rsidR="00F303C4" w:rsidRDefault="00F303C4"/>
    <w:sectPr w:rsidR="00F303C4"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8059688">
    <w:abstractNumId w:val="8"/>
  </w:num>
  <w:num w:numId="2" w16cid:durableId="1358195246">
    <w:abstractNumId w:val="6"/>
  </w:num>
  <w:num w:numId="3" w16cid:durableId="1608539602">
    <w:abstractNumId w:val="5"/>
  </w:num>
  <w:num w:numId="4" w16cid:durableId="126629612">
    <w:abstractNumId w:val="4"/>
  </w:num>
  <w:num w:numId="5" w16cid:durableId="492069617">
    <w:abstractNumId w:val="7"/>
  </w:num>
  <w:num w:numId="6" w16cid:durableId="15470847">
    <w:abstractNumId w:val="3"/>
  </w:num>
  <w:num w:numId="7" w16cid:durableId="2017002338">
    <w:abstractNumId w:val="2"/>
  </w:num>
  <w:num w:numId="8" w16cid:durableId="191385981">
    <w:abstractNumId w:val="1"/>
  </w:num>
  <w:num w:numId="9" w16cid:durableId="136001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95907"/>
    <w:rsid w:val="00CB0664"/>
    <w:rsid w:val="00E152E7"/>
    <w:rsid w:val="00F303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ACA4B"/>
  <w14:defaultImageDpi w14:val="300"/>
  <w15:docId w15:val="{70BBAB93-CB51-4DFB-A125-C1EF011B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Krishnasalini Gunanathan</cp:lastModifiedBy>
  <cp:revision>2</cp:revision>
  <dcterms:created xsi:type="dcterms:W3CDTF">2013-12-23T23:15:00Z</dcterms:created>
  <dcterms:modified xsi:type="dcterms:W3CDTF">2026-10-12T14:16:00Z</dcterms:modified>
  <cp:category/>
</cp:coreProperties>
</file>