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2880"/>
        <w:jc w:val="center"/>
      </w:pPr>
      <w:r>
        <w:rPr>
          <w:rFonts w:ascii="Arial" w:cs="Arial" w:eastAsia="Arial" w:hAnsi="Arial"/>
          <w:b/>
          <w:bCs/>
          <w:color w:val="003366"/>
          <w:sz w:val="64"/>
          <w:szCs w:val="64"/>
        </w:rPr>
        <w:t xml:space="preserve">FUTURTRUST BANK</w:t>
      </w:r>
    </w:p>
    <w:p>
      <w:pPr>
        <w:spacing w:after="240" w:before="0"/>
        <w:jc w:val="center"/>
      </w:pPr>
      <w:r>
        <w:rPr>
          <w:rFonts w:ascii="Arial" w:cs="Arial" w:eastAsia="Arial" w:hAnsi="Arial"/>
          <w:color w:val="1F5C9E"/>
          <w:sz w:val="40"/>
          <w:szCs w:val="40"/>
        </w:rPr>
        <w:t xml:space="preserve">Customer Service Department</w:t>
      </w:r>
    </w:p>
    <w:p>
      <w:pPr>
        <w:spacing w:after="240" w:before="0"/>
        <w:jc w:val="center"/>
      </w:pPr>
      <w:r>
        <w:rPr>
          <w:rFonts w:ascii="Arial" w:cs="Arial" w:eastAsia="Arial" w:hAnsi="Arial"/>
          <w:i/>
          <w:iCs/>
          <w:color w:val="1A3A5C"/>
          <w:sz w:val="28"/>
          <w:szCs w:val="28"/>
        </w:rPr>
        <w:t xml:space="preserve">Knowledge Base — Production RAG System</w:t>
      </w:r>
    </w:p>
    <w:p>
      <w:pPr>
        <w:pBdr>
          <w:bottom w:val="single" w:color="1F5C9E" w:sz="6" w:space="1"/>
        </w:pBdr>
        <w:spacing w:after="120" w:before="120"/>
      </w:pPr>
      <w:r>
        <w:t xml:space="preserve"/>
      </w:r>
    </w:p>
    <w:p>
      <w:pPr>
        <w:spacing w:after="120" w:before="240"/>
        <w:jc w:val="center"/>
      </w:pPr>
      <w:r>
        <w:rPr>
          <w:rFonts w:ascii="Arial" w:cs="Arial" w:eastAsia="Arial" w:hAnsi="Arial"/>
          <w:color w:val="1A1A2E"/>
          <w:sz w:val="22"/>
          <w:szCs w:val="22"/>
        </w:rPr>
        <w:t xml:space="preserve">Version 2.0 | June 2024 | CONFIDENTIAL</w:t>
      </w:r>
    </w:p>
    <w:p>
      <w:pPr>
        <w:spacing w:after="120" w:before="0"/>
        <w:jc w:val="center"/>
      </w:pPr>
      <w:r>
        <w:rPr>
          <w:rFonts w:ascii="Arial" w:cs="Arial" w:eastAsia="Arial" w:hAnsi="Arial"/>
          <w:color w:val="1A1A2E"/>
          <w:sz w:val="22"/>
          <w:szCs w:val="22"/>
        </w:rPr>
        <w:t xml:space="preserve">Prepared by: Customer Experience &amp; AI Integration Team</w:t>
      </w:r>
    </w:p>
    <w:p>
      <w:pPr>
        <w:spacing w:after="120" w:before="0"/>
        <w:jc w:val="center"/>
      </w:pPr>
      <w:r>
        <w:rPr>
          <w:rFonts w:ascii="Arial" w:cs="Arial" w:eastAsia="Arial" w:hAnsi="Arial"/>
          <w:color w:val="1A1A2E"/>
          <w:sz w:val="22"/>
          <w:szCs w:val="22"/>
        </w:rPr>
        <w:t xml:space="preserve">Authorized by: Mr. Rajesh Kumar Nair, Department Manager – CSD</w:t>
      </w:r>
    </w:p>
    <w:p>
      <w:r>
        <w:br w:type="page"/>
      </w:r>
    </w:p>
    <w:p>
      <w:pPr>
        <w:pStyle w:val="Heading1"/>
      </w:pPr>
      <w:r>
        <w:rPr>
          <w:rFonts w:ascii="Arial" w:cs="Arial" w:eastAsia="Arial" w:hAnsi="Arial"/>
          <w:b/>
          <w:bCs/>
          <w:color w:val="003366"/>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003366"/>
          <w:sz w:val="32"/>
          <w:szCs w:val="32"/>
        </w:rPr>
        <w:t xml:space="preserve">1. Department Overview</w:t>
      </w:r>
    </w:p>
    <w:p>
      <w:pPr>
        <w:spacing w:after="80" w:before="80"/>
      </w:pPr>
      <w:r>
        <w:rPr>
          <w:rFonts w:ascii="Arial" w:cs="Arial" w:eastAsia="Arial" w:hAnsi="Arial"/>
          <w:b/>
          <w:bCs/>
          <w:color w:val="1A1A2E"/>
          <w:sz w:val="26"/>
          <w:szCs w:val="26"/>
        </w:rPr>
        <w:t xml:space="preserve">FutureTrust Bank – Customer Service Department</w:t>
      </w:r>
    </w:p>
    <w:p>
      <w:pPr>
        <w:spacing w:after="120" w:before="0"/>
      </w:pPr>
      <w:r>
        <w:t xml:space="preserve"/>
      </w:r>
    </w:p>
    <w:p>
      <w:pPr>
        <w:spacing w:after="80" w:before="80"/>
      </w:pPr>
      <w:r>
        <w:rPr>
          <w:rFonts w:ascii="Arial" w:cs="Arial" w:eastAsia="Arial" w:hAnsi="Arial"/>
          <w:color w:val="1A1A2E"/>
          <w:sz w:val="22"/>
          <w:szCs w:val="22"/>
        </w:rPr>
        <w:t xml:space="preserve">FutureTrust Bank's Customer Service Department (CSD) is the primary interface between the bank and its retail, business, and premium customers. The department is responsible for providing seamless, accurate, and empathetic service across all customer touchpoints, including in-branch interactions, telephone banking, live chat, email correspondence, and the bank's digital self-service portals.</w:t>
      </w:r>
    </w:p>
    <w:p>
      <w:pPr>
        <w:spacing w:after="120" w:before="0"/>
      </w:pPr>
      <w:r>
        <w:t xml:space="preserve"/>
      </w:r>
    </w:p>
    <w:p>
      <w:pPr>
        <w:spacing w:after="80" w:before="80"/>
      </w:pPr>
      <w:r>
        <w:rPr>
          <w:rFonts w:ascii="Arial" w:cs="Arial" w:eastAsia="Arial" w:hAnsi="Arial"/>
          <w:color w:val="1A1A2E"/>
          <w:sz w:val="22"/>
          <w:szCs w:val="22"/>
        </w:rPr>
        <w:t xml:space="preserve">Established as one of FutureTrust Bank's core operational units, the CSD operates 24 hours a day, 7 days a week, 365 days a year, ensuring that customers receive timely assistance regardless of time zone or banking channel. The department is headquartered at FutureTrust Bank's Central Operations Hub in Hyderabad, with regional support centers in Mumbai, Delhi, Bengaluru, Chennai, Kolkata, and Pune.</w:t>
      </w:r>
    </w:p>
    <w:p>
      <w:pPr>
        <w:spacing w:after="120" w:before="0"/>
      </w:pPr>
      <w:r>
        <w:t xml:space="preserve"/>
      </w:r>
    </w:p>
    <w:p>
      <w:pPr>
        <w:pStyle w:val="Heading2"/>
        <w:spacing w:after="160" w:before="280"/>
      </w:pPr>
      <w:r>
        <w:rPr>
          <w:rFonts w:ascii="Arial" w:cs="Arial" w:eastAsia="Arial" w:hAnsi="Arial"/>
          <w:b/>
          <w:bCs/>
          <w:color w:val="1F5C9E"/>
          <w:sz w:val="26"/>
          <w:szCs w:val="26"/>
        </w:rPr>
        <w:t xml:space="preserve">1.1 Mission Statement</w:t>
      </w:r>
    </w:p>
    <w:p>
      <w:pPr>
        <w:spacing w:after="80" w:before="80"/>
      </w:pPr>
      <w:r>
        <w:rPr>
          <w:rFonts w:ascii="Arial" w:cs="Arial" w:eastAsia="Arial" w:hAnsi="Arial"/>
          <w:color w:val="1A1A2E"/>
          <w:sz w:val="22"/>
          <w:szCs w:val="22"/>
        </w:rPr>
        <w:t xml:space="preserve">"To deliver exceptional, customer-centric banking experiences by providing prompt, accurate, and compassionate service through every channel, empowering customers with the knowledge and tools needed to achieve their financial goals."</w:t>
      </w:r>
    </w:p>
    <w:p>
      <w:pPr>
        <w:spacing w:after="120" w:before="0"/>
      </w:pPr>
      <w:r>
        <w:t xml:space="preserve"/>
      </w:r>
    </w:p>
    <w:p>
      <w:pPr>
        <w:pStyle w:val="Heading2"/>
        <w:spacing w:after="160" w:before="280"/>
      </w:pPr>
      <w:r>
        <w:rPr>
          <w:rFonts w:ascii="Arial" w:cs="Arial" w:eastAsia="Arial" w:hAnsi="Arial"/>
          <w:b/>
          <w:bCs/>
          <w:color w:val="1F5C9E"/>
          <w:sz w:val="26"/>
          <w:szCs w:val="26"/>
        </w:rPr>
        <w:t xml:space="preserve">1.2 Vision</w:t>
      </w:r>
    </w:p>
    <w:p>
      <w:pPr>
        <w:spacing w:after="80" w:before="80"/>
      </w:pPr>
      <w:r>
        <w:rPr>
          <w:rFonts w:ascii="Arial" w:cs="Arial" w:eastAsia="Arial" w:hAnsi="Arial"/>
          <w:color w:val="1A1A2E"/>
          <w:sz w:val="22"/>
          <w:szCs w:val="22"/>
        </w:rPr>
        <w:t xml:space="preserve">To become the most trusted and highest-rated customer service operation in the Indian banking industry by 2027, setting benchmarks for response times, first-call resolution rates, and customer satisfaction scores.</w:t>
      </w:r>
    </w:p>
    <w:p>
      <w:pPr>
        <w:spacing w:after="120" w:before="0"/>
      </w:pPr>
      <w:r>
        <w:t xml:space="preserve"/>
      </w:r>
    </w:p>
    <w:p>
      <w:pPr>
        <w:pStyle w:val="Heading2"/>
        <w:spacing w:after="160" w:before="280"/>
      </w:pPr>
      <w:r>
        <w:rPr>
          <w:rFonts w:ascii="Arial" w:cs="Arial" w:eastAsia="Arial" w:hAnsi="Arial"/>
          <w:b/>
          <w:bCs/>
          <w:color w:val="1F5C9E"/>
          <w:sz w:val="26"/>
          <w:szCs w:val="26"/>
        </w:rPr>
        <w:t xml:space="preserve">1.3 Core Values</w:t>
      </w:r>
    </w:p>
    <w:p>
      <w:pPr>
        <w:pStyle w:val="ListParagraph"/>
        <w:numPr>
          <w:ilvl w:val="0"/>
          <w:numId w:val="2"/>
        </w:numPr>
        <w:spacing w:after="60" w:before="60"/>
      </w:pPr>
      <w:r>
        <w:rPr>
          <w:rFonts w:ascii="Arial" w:cs="Arial" w:eastAsia="Arial" w:hAnsi="Arial"/>
          <w:color w:val="1A1A2E"/>
          <w:sz w:val="22"/>
          <w:szCs w:val="22"/>
        </w:rPr>
        <w:t xml:space="preserve">Integrity – Honest and transparent communication in every interaction</w:t>
      </w:r>
    </w:p>
    <w:p>
      <w:pPr>
        <w:pStyle w:val="ListParagraph"/>
        <w:numPr>
          <w:ilvl w:val="0"/>
          <w:numId w:val="2"/>
        </w:numPr>
        <w:spacing w:after="60" w:before="60"/>
      </w:pPr>
      <w:r>
        <w:rPr>
          <w:rFonts w:ascii="Arial" w:cs="Arial" w:eastAsia="Arial" w:hAnsi="Arial"/>
          <w:color w:val="1A1A2E"/>
          <w:sz w:val="22"/>
          <w:szCs w:val="22"/>
        </w:rPr>
        <w:t xml:space="preserve">Empathy – Understanding and prioritizing customer emotions and needs</w:t>
      </w:r>
    </w:p>
    <w:p>
      <w:pPr>
        <w:pStyle w:val="ListParagraph"/>
        <w:numPr>
          <w:ilvl w:val="0"/>
          <w:numId w:val="2"/>
        </w:numPr>
        <w:spacing w:after="60" w:before="60"/>
      </w:pPr>
      <w:r>
        <w:rPr>
          <w:rFonts w:ascii="Arial" w:cs="Arial" w:eastAsia="Arial" w:hAnsi="Arial"/>
          <w:color w:val="1A1A2E"/>
          <w:sz w:val="22"/>
          <w:szCs w:val="22"/>
        </w:rPr>
        <w:t xml:space="preserve">Excellence – Striving for zero-error service and first-call resolution</w:t>
      </w:r>
    </w:p>
    <w:p>
      <w:pPr>
        <w:pStyle w:val="ListParagraph"/>
        <w:numPr>
          <w:ilvl w:val="0"/>
          <w:numId w:val="2"/>
        </w:numPr>
        <w:spacing w:after="60" w:before="60"/>
      </w:pPr>
      <w:r>
        <w:rPr>
          <w:rFonts w:ascii="Arial" w:cs="Arial" w:eastAsia="Arial" w:hAnsi="Arial"/>
          <w:color w:val="1A1A2E"/>
          <w:sz w:val="22"/>
          <w:szCs w:val="22"/>
        </w:rPr>
        <w:t xml:space="preserve">Accountability – Owning every customer concern from initiation to resolution</w:t>
      </w:r>
    </w:p>
    <w:p>
      <w:pPr>
        <w:pStyle w:val="ListParagraph"/>
        <w:numPr>
          <w:ilvl w:val="0"/>
          <w:numId w:val="2"/>
        </w:numPr>
        <w:spacing w:after="60" w:before="60"/>
      </w:pPr>
      <w:r>
        <w:rPr>
          <w:rFonts w:ascii="Arial" w:cs="Arial" w:eastAsia="Arial" w:hAnsi="Arial"/>
          <w:color w:val="1A1A2E"/>
          <w:sz w:val="22"/>
          <w:szCs w:val="22"/>
        </w:rPr>
        <w:t xml:space="preserve">Innovation – Continuously improving processes using technology and feedback</w:t>
      </w:r>
    </w:p>
    <w:p>
      <w:pPr>
        <w:pStyle w:val="ListParagraph"/>
        <w:numPr>
          <w:ilvl w:val="0"/>
          <w:numId w:val="2"/>
        </w:numPr>
        <w:spacing w:after="60" w:before="60"/>
      </w:pPr>
      <w:r>
        <w:rPr>
          <w:rFonts w:ascii="Arial" w:cs="Arial" w:eastAsia="Arial" w:hAnsi="Arial"/>
          <w:color w:val="1A1A2E"/>
          <w:sz w:val="22"/>
          <w:szCs w:val="22"/>
        </w:rPr>
        <w:t xml:space="preserve">Inclusivity – Serving all customers with equal dedication regardless of account type</w:t>
      </w:r>
    </w:p>
    <w:p>
      <w:pPr>
        <w:spacing w:after="120" w:before="0"/>
      </w:pPr>
      <w:r>
        <w:t xml:space="preserve"/>
      </w:r>
    </w:p>
    <w:p>
      <w:pPr>
        <w:pStyle w:val="Heading2"/>
        <w:spacing w:after="160" w:before="280"/>
      </w:pPr>
      <w:r>
        <w:rPr>
          <w:rFonts w:ascii="Arial" w:cs="Arial" w:eastAsia="Arial" w:hAnsi="Arial"/>
          <w:b/>
          <w:bCs/>
          <w:color w:val="1F5C9E"/>
          <w:sz w:val="26"/>
          <w:szCs w:val="26"/>
        </w:rPr>
        <w:t xml:space="preserve">1.4 Department Scope</w:t>
      </w:r>
    </w:p>
    <w:p>
      <w:pPr>
        <w:spacing w:after="80" w:before="80"/>
      </w:pPr>
      <w:r>
        <w:rPr>
          <w:rFonts w:ascii="Arial" w:cs="Arial" w:eastAsia="Arial" w:hAnsi="Arial"/>
          <w:color w:val="1A1A2E"/>
          <w:sz w:val="22"/>
          <w:szCs w:val="22"/>
        </w:rPr>
        <w:t xml:space="preserve">The Customer Service Department handles the following broad categories:</w:t>
      </w:r>
    </w:p>
    <w:p>
      <w:pPr>
        <w:pStyle w:val="ListParagraph"/>
        <w:numPr>
          <w:ilvl w:val="0"/>
          <w:numId w:val="2"/>
        </w:numPr>
        <w:spacing w:after="60" w:before="60"/>
      </w:pPr>
      <w:r>
        <w:rPr>
          <w:rFonts w:ascii="Arial" w:cs="Arial" w:eastAsia="Arial" w:hAnsi="Arial"/>
          <w:color w:val="1A1A2E"/>
          <w:sz w:val="22"/>
          <w:szCs w:val="22"/>
        </w:rPr>
        <w:t xml:space="preserve">Account Management Queries – Opening, closing, modification, and status inquiries</w:t>
      </w:r>
    </w:p>
    <w:p>
      <w:pPr>
        <w:pStyle w:val="ListParagraph"/>
        <w:numPr>
          <w:ilvl w:val="0"/>
          <w:numId w:val="2"/>
        </w:numPr>
        <w:spacing w:after="60" w:before="60"/>
      </w:pPr>
      <w:r>
        <w:rPr>
          <w:rFonts w:ascii="Arial" w:cs="Arial" w:eastAsia="Arial" w:hAnsi="Arial"/>
          <w:color w:val="1A1A2E"/>
          <w:sz w:val="22"/>
          <w:szCs w:val="22"/>
        </w:rPr>
        <w:t xml:space="preserve">Transaction Support – Disputes, failed transactions, reversals, and confirmations</w:t>
      </w:r>
    </w:p>
    <w:p>
      <w:pPr>
        <w:pStyle w:val="ListParagraph"/>
        <w:numPr>
          <w:ilvl w:val="0"/>
          <w:numId w:val="2"/>
        </w:numPr>
        <w:spacing w:after="60" w:before="60"/>
      </w:pPr>
      <w:r>
        <w:rPr>
          <w:rFonts w:ascii="Arial" w:cs="Arial" w:eastAsia="Arial" w:hAnsi="Arial"/>
          <w:color w:val="1A1A2E"/>
          <w:sz w:val="22"/>
          <w:szCs w:val="22"/>
        </w:rPr>
        <w:t xml:space="preserve">Product Information – Loans, deposits, credit cards, insurance, and investment products</w:t>
      </w:r>
    </w:p>
    <w:p>
      <w:pPr>
        <w:pStyle w:val="ListParagraph"/>
        <w:numPr>
          <w:ilvl w:val="0"/>
          <w:numId w:val="2"/>
        </w:numPr>
        <w:spacing w:after="60" w:before="60"/>
      </w:pPr>
      <w:r>
        <w:rPr>
          <w:rFonts w:ascii="Arial" w:cs="Arial" w:eastAsia="Arial" w:hAnsi="Arial"/>
          <w:color w:val="1A1A2E"/>
          <w:sz w:val="22"/>
          <w:szCs w:val="22"/>
        </w:rPr>
        <w:t xml:space="preserve">Complaint Resolution – Formal and informal complaints with defined SLA timelines</w:t>
      </w:r>
    </w:p>
    <w:p>
      <w:pPr>
        <w:pStyle w:val="ListParagraph"/>
        <w:numPr>
          <w:ilvl w:val="0"/>
          <w:numId w:val="2"/>
        </w:numPr>
        <w:spacing w:after="60" w:before="60"/>
      </w:pPr>
      <w:r>
        <w:rPr>
          <w:rFonts w:ascii="Arial" w:cs="Arial" w:eastAsia="Arial" w:hAnsi="Arial"/>
          <w:color w:val="1A1A2E"/>
          <w:sz w:val="22"/>
          <w:szCs w:val="22"/>
        </w:rPr>
        <w:t xml:space="preserve">Digital Banking Assistance – Internet banking, mobile app, UPI, and NEFT/RTGS support</w:t>
      </w:r>
    </w:p>
    <w:p>
      <w:pPr>
        <w:pStyle w:val="ListParagraph"/>
        <w:numPr>
          <w:ilvl w:val="0"/>
          <w:numId w:val="2"/>
        </w:numPr>
        <w:spacing w:after="60" w:before="60"/>
      </w:pPr>
      <w:r>
        <w:rPr>
          <w:rFonts w:ascii="Arial" w:cs="Arial" w:eastAsia="Arial" w:hAnsi="Arial"/>
          <w:color w:val="1A1A2E"/>
          <w:sz w:val="22"/>
          <w:szCs w:val="22"/>
        </w:rPr>
        <w:t xml:space="preserve">KYC and Documentation – Document submission, verification, and compliance support</w:t>
      </w:r>
    </w:p>
    <w:p>
      <w:pPr>
        <w:pStyle w:val="ListParagraph"/>
        <w:numPr>
          <w:ilvl w:val="0"/>
          <w:numId w:val="2"/>
        </w:numPr>
        <w:spacing w:after="60" w:before="60"/>
      </w:pPr>
      <w:r>
        <w:rPr>
          <w:rFonts w:ascii="Arial" w:cs="Arial" w:eastAsia="Arial" w:hAnsi="Arial"/>
          <w:color w:val="1A1A2E"/>
          <w:sz w:val="22"/>
          <w:szCs w:val="22"/>
        </w:rPr>
        <w:t xml:space="preserve">Fraud and Security – Reporting unauthorized transactions and card blocking</w:t>
      </w:r>
    </w:p>
    <w:p>
      <w:pPr>
        <w:pStyle w:val="ListParagraph"/>
        <w:numPr>
          <w:ilvl w:val="0"/>
          <w:numId w:val="2"/>
        </w:numPr>
        <w:spacing w:after="60" w:before="60"/>
      </w:pPr>
      <w:r>
        <w:rPr>
          <w:rFonts w:ascii="Arial" w:cs="Arial" w:eastAsia="Arial" w:hAnsi="Arial"/>
          <w:color w:val="1A1A2E"/>
          <w:sz w:val="22"/>
          <w:szCs w:val="22"/>
        </w:rPr>
        <w:t xml:space="preserve">Senior Citizen and Differently-Abled Support – Specialized assistance programs</w:t>
      </w:r>
    </w:p>
    <w:p>
      <w:pPr>
        <w:spacing w:after="120" w:before="0"/>
      </w:pPr>
      <w:r>
        <w:t xml:space="preserve"/>
      </w:r>
    </w:p>
    <w:p>
      <w:pPr>
        <w:pStyle w:val="Heading2"/>
        <w:spacing w:after="160" w:before="280"/>
      </w:pPr>
      <w:r>
        <w:rPr>
          <w:rFonts w:ascii="Arial" w:cs="Arial" w:eastAsia="Arial" w:hAnsi="Arial"/>
          <w:b/>
          <w:bCs/>
          <w:color w:val="1F5C9E"/>
          <w:sz w:val="26"/>
          <w:szCs w:val="26"/>
        </w:rPr>
        <w:t xml:space="preserve">1.5 Key Performance Indicators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AECDE0" w:sz="1"/>
              <w:left w:val="single" w:color="AECDE0" w:sz="1"/>
              <w:bottom w:val="single" w:color="AECDE0" w:sz="1"/>
              <w:right w:val="single" w:color="AECDE0" w:sz="1"/>
            </w:tcBorders>
            <w:shd w:fill="00336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 Metric</w:t>
            </w:r>
          </w:p>
        </w:tc>
        <w:tc>
          <w:tcPr>
            <w:tcW w:type="dxa" w:w="2930"/>
            <w:tcBorders>
              <w:top w:val="single" w:color="AECDE0" w:sz="1"/>
              <w:left w:val="single" w:color="AECDE0" w:sz="1"/>
              <w:bottom w:val="single" w:color="AECDE0" w:sz="1"/>
              <w:right w:val="single" w:color="AECDE0" w:sz="1"/>
            </w:tcBorders>
            <w:shd w:fill="00336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w:t>
            </w:r>
          </w:p>
        </w:tc>
        <w:tc>
          <w:tcPr>
            <w:tcW w:type="dxa" w:w="2930"/>
            <w:tcBorders>
              <w:top w:val="single" w:color="AECDE0" w:sz="1"/>
              <w:left w:val="single" w:color="AECDE0" w:sz="1"/>
              <w:bottom w:val="single" w:color="AECDE0" w:sz="1"/>
              <w:right w:val="single" w:color="AECDE0" w:sz="1"/>
            </w:tcBorders>
            <w:shd w:fill="00336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Current Performance</w:t>
            </w:r>
          </w:p>
        </w:tc>
      </w:tr>
      <w:tr>
        <w:tc>
          <w:tcPr>
            <w:tcW w:type="dxa" w:w="35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First Call Resolution (FCR) Rate</w:t>
            </w:r>
          </w:p>
        </w:tc>
        <w:tc>
          <w:tcPr>
            <w:tcW w:type="dxa" w:w="2930"/>
            <w:tcBorders>
              <w:top w:val="single" w:color="AECDE0" w:sz="1"/>
              <w:left w:val="single" w:color="AECDE0" w:sz="1"/>
              <w:bottom w:val="single" w:color="AECDE0" w:sz="1"/>
              <w:right w:val="single" w:color="AECDE0" w:sz="1"/>
            </w:tcBorders>
            <w:shd w:fill="FFFFFF"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85%</w:t>
            </w:r>
          </w:p>
        </w:tc>
        <w:tc>
          <w:tcPr>
            <w:tcW w:type="dxa" w:w="2930"/>
            <w:tcBorders>
              <w:top w:val="single" w:color="AECDE0" w:sz="1"/>
              <w:left w:val="single" w:color="AECDE0" w:sz="1"/>
              <w:bottom w:val="single" w:color="AECDE0" w:sz="1"/>
              <w:right w:val="single" w:color="AECDE0" w:sz="1"/>
            </w:tcBorders>
            <w:shd w:fill="FFFFFF"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87.3%</w:t>
            </w:r>
          </w:p>
        </w:tc>
      </w:tr>
      <w:tr>
        <w:tc>
          <w:tcPr>
            <w:tcW w:type="dxa" w:w="35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Average Handle Time (AHT)</w:t>
            </w:r>
          </w:p>
        </w:tc>
        <w:tc>
          <w:tcPr>
            <w:tcW w:type="dxa" w:w="2930"/>
            <w:tcBorders>
              <w:top w:val="single" w:color="AECDE0" w:sz="1"/>
              <w:left w:val="single" w:color="AECDE0" w:sz="1"/>
              <w:bottom w:val="single" w:color="AECDE0" w:sz="1"/>
              <w:right w:val="single" w:color="AECDE0" w:sz="1"/>
            </w:tcBorders>
            <w:shd w:fill="FFFFFF"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4 minutes</w:t>
            </w:r>
          </w:p>
        </w:tc>
        <w:tc>
          <w:tcPr>
            <w:tcW w:type="dxa" w:w="2930"/>
            <w:tcBorders>
              <w:top w:val="single" w:color="AECDE0" w:sz="1"/>
              <w:left w:val="single" w:color="AECDE0" w:sz="1"/>
              <w:bottom w:val="single" w:color="AECDE0" w:sz="1"/>
              <w:right w:val="single" w:color="AECDE0" w:sz="1"/>
            </w:tcBorders>
            <w:shd w:fill="FFFFFF"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 min 48 sec</w:t>
            </w:r>
          </w:p>
        </w:tc>
      </w:tr>
      <w:tr>
        <w:tc>
          <w:tcPr>
            <w:tcW w:type="dxa" w:w="35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Customer Satisfaction Score (CSAT)</w:t>
            </w:r>
          </w:p>
        </w:tc>
        <w:tc>
          <w:tcPr>
            <w:tcW w:type="dxa" w:w="2930"/>
            <w:tcBorders>
              <w:top w:val="single" w:color="AECDE0" w:sz="1"/>
              <w:left w:val="single" w:color="AECDE0" w:sz="1"/>
              <w:bottom w:val="single" w:color="AECDE0" w:sz="1"/>
              <w:right w:val="single" w:color="AECDE0" w:sz="1"/>
            </w:tcBorders>
            <w:shd w:fill="FFFFFF"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4.2 / 5.0</w:t>
            </w:r>
          </w:p>
        </w:tc>
        <w:tc>
          <w:tcPr>
            <w:tcW w:type="dxa" w:w="2930"/>
            <w:tcBorders>
              <w:top w:val="single" w:color="AECDE0" w:sz="1"/>
              <w:left w:val="single" w:color="AECDE0" w:sz="1"/>
              <w:bottom w:val="single" w:color="AECDE0" w:sz="1"/>
              <w:right w:val="single" w:color="AECDE0" w:sz="1"/>
            </w:tcBorders>
            <w:shd w:fill="FFFFFF"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4.4 / 5.0</w:t>
            </w:r>
          </w:p>
        </w:tc>
      </w:tr>
      <w:tr>
        <w:tc>
          <w:tcPr>
            <w:tcW w:type="dxa" w:w="35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Net Promoter Score (NPS)</w:t>
            </w:r>
          </w:p>
        </w:tc>
        <w:tc>
          <w:tcPr>
            <w:tcW w:type="dxa" w:w="2930"/>
            <w:tcBorders>
              <w:top w:val="single" w:color="AECDE0" w:sz="1"/>
              <w:left w:val="single" w:color="AECDE0" w:sz="1"/>
              <w:bottom w:val="single" w:color="AECDE0" w:sz="1"/>
              <w:right w:val="single" w:color="AECDE0" w:sz="1"/>
            </w:tcBorders>
            <w:shd w:fill="FFFFFF"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+50</w:t>
            </w:r>
          </w:p>
        </w:tc>
        <w:tc>
          <w:tcPr>
            <w:tcW w:type="dxa" w:w="2930"/>
            <w:tcBorders>
              <w:top w:val="single" w:color="AECDE0" w:sz="1"/>
              <w:left w:val="single" w:color="AECDE0" w:sz="1"/>
              <w:bottom w:val="single" w:color="AECDE0" w:sz="1"/>
              <w:right w:val="single" w:color="AECDE0" w:sz="1"/>
            </w:tcBorders>
            <w:shd w:fill="FFFFFF"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+58</w:t>
            </w:r>
          </w:p>
        </w:tc>
      </w:tr>
      <w:tr>
        <w:tc>
          <w:tcPr>
            <w:tcW w:type="dxa" w:w="35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Average Speed of Answer (ASA)</w:t>
            </w:r>
          </w:p>
        </w:tc>
        <w:tc>
          <w:tcPr>
            <w:tcW w:type="dxa" w:w="2930"/>
            <w:tcBorders>
              <w:top w:val="single" w:color="AECDE0" w:sz="1"/>
              <w:left w:val="single" w:color="AECDE0" w:sz="1"/>
              <w:bottom w:val="single" w:color="AECDE0" w:sz="1"/>
              <w:right w:val="single" w:color="AECDE0" w:sz="1"/>
            </w:tcBorders>
            <w:shd w:fill="FFFFFF"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30 seconds</w:t>
            </w:r>
          </w:p>
        </w:tc>
        <w:tc>
          <w:tcPr>
            <w:tcW w:type="dxa" w:w="2930"/>
            <w:tcBorders>
              <w:top w:val="single" w:color="AECDE0" w:sz="1"/>
              <w:left w:val="single" w:color="AECDE0" w:sz="1"/>
              <w:bottom w:val="single" w:color="AECDE0" w:sz="1"/>
              <w:right w:val="single" w:color="AECDE0" w:sz="1"/>
            </w:tcBorders>
            <w:shd w:fill="FFFFFF"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22 seconds</w:t>
            </w:r>
          </w:p>
        </w:tc>
      </w:tr>
      <w:tr>
        <w:tc>
          <w:tcPr>
            <w:tcW w:type="dxa" w:w="35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Complaint Closure Rate (within SLA)</w:t>
            </w:r>
          </w:p>
        </w:tc>
        <w:tc>
          <w:tcPr>
            <w:tcW w:type="dxa" w:w="2930"/>
            <w:tcBorders>
              <w:top w:val="single" w:color="AECDE0" w:sz="1"/>
              <w:left w:val="single" w:color="AECDE0" w:sz="1"/>
              <w:bottom w:val="single" w:color="AECDE0" w:sz="1"/>
              <w:right w:val="single" w:color="AECDE0" w:sz="1"/>
            </w:tcBorders>
            <w:shd w:fill="FFFFFF"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95%</w:t>
            </w:r>
          </w:p>
        </w:tc>
        <w:tc>
          <w:tcPr>
            <w:tcW w:type="dxa" w:w="2930"/>
            <w:tcBorders>
              <w:top w:val="single" w:color="AECDE0" w:sz="1"/>
              <w:left w:val="single" w:color="AECDE0" w:sz="1"/>
              <w:bottom w:val="single" w:color="AECDE0" w:sz="1"/>
              <w:right w:val="single" w:color="AECDE0" w:sz="1"/>
            </w:tcBorders>
            <w:shd w:fill="FFFFFF"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96.1%</w:t>
            </w:r>
          </w:p>
        </w:tc>
      </w:tr>
      <w:tr>
        <w:tc>
          <w:tcPr>
            <w:tcW w:type="dxa" w:w="35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Digital Query Resolution Rate</w:t>
            </w:r>
          </w:p>
        </w:tc>
        <w:tc>
          <w:tcPr>
            <w:tcW w:type="dxa" w:w="2930"/>
            <w:tcBorders>
              <w:top w:val="single" w:color="AECDE0" w:sz="1"/>
              <w:left w:val="single" w:color="AECDE0" w:sz="1"/>
              <w:bottom w:val="single" w:color="AECDE0" w:sz="1"/>
              <w:right w:val="single" w:color="AECDE0" w:sz="1"/>
            </w:tcBorders>
            <w:shd w:fill="FFFFFF"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80%</w:t>
            </w:r>
          </w:p>
        </w:tc>
        <w:tc>
          <w:tcPr>
            <w:tcW w:type="dxa" w:w="2930"/>
            <w:tcBorders>
              <w:top w:val="single" w:color="AECDE0" w:sz="1"/>
              <w:left w:val="single" w:color="AECDE0" w:sz="1"/>
              <w:bottom w:val="single" w:color="AECDE0" w:sz="1"/>
              <w:right w:val="single" w:color="AECDE0" w:sz="1"/>
            </w:tcBorders>
            <w:shd w:fill="FFFFFF"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83.7%</w:t>
            </w:r>
          </w:p>
        </w:tc>
      </w:tr>
      <w:tr>
        <w:tc>
          <w:tcPr>
            <w:tcW w:type="dxa" w:w="35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Employee Attrition Rate</w:t>
            </w:r>
          </w:p>
        </w:tc>
        <w:tc>
          <w:tcPr>
            <w:tcW w:type="dxa" w:w="2930"/>
            <w:tcBorders>
              <w:top w:val="single" w:color="AECDE0" w:sz="1"/>
              <w:left w:val="single" w:color="AECDE0" w:sz="1"/>
              <w:bottom w:val="single" w:color="AECDE0" w:sz="1"/>
              <w:right w:val="single" w:color="AECDE0" w:sz="1"/>
            </w:tcBorders>
            <w:shd w:fill="FFFFFF"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12%</w:t>
            </w:r>
          </w:p>
        </w:tc>
        <w:tc>
          <w:tcPr>
            <w:tcW w:type="dxa" w:w="2930"/>
            <w:tcBorders>
              <w:top w:val="single" w:color="AECDE0" w:sz="1"/>
              <w:left w:val="single" w:color="AECDE0" w:sz="1"/>
              <w:bottom w:val="single" w:color="AECDE0" w:sz="1"/>
              <w:right w:val="single" w:color="AECDE0" w:sz="1"/>
            </w:tcBorders>
            <w:shd w:fill="FFFFFF"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9.8%</w:t>
            </w:r>
          </w:p>
        </w:tc>
      </w:tr>
    </w:tbl>
    <w:p>
      <w:r>
        <w:br w:type="page"/>
      </w:r>
    </w:p>
    <w:p>
      <w:pPr>
        <w:pStyle w:val="Heading1"/>
        <w:spacing w:after="200" w:before="360"/>
      </w:pPr>
      <w:r>
        <w:rPr>
          <w:rFonts w:ascii="Arial" w:cs="Arial" w:eastAsia="Arial" w:hAnsi="Arial"/>
          <w:b/>
          <w:bCs/>
          <w:color w:val="003366"/>
          <w:sz w:val="32"/>
          <w:szCs w:val="32"/>
        </w:rPr>
        <w:t xml:space="preserve">2. Roles and Responsibilities</w:t>
      </w:r>
    </w:p>
    <w:p>
      <w:pPr>
        <w:pStyle w:val="Heading2"/>
        <w:spacing w:after="160" w:before="280"/>
      </w:pPr>
      <w:r>
        <w:rPr>
          <w:rFonts w:ascii="Arial" w:cs="Arial" w:eastAsia="Arial" w:hAnsi="Arial"/>
          <w:b/>
          <w:bCs/>
          <w:color w:val="1F5C9E"/>
          <w:sz w:val="26"/>
          <w:szCs w:val="26"/>
        </w:rPr>
        <w:t xml:space="preserve">2.1 Customer Service Representative (CSR) – Level 1</w:t>
      </w:r>
    </w:p>
    <w:p>
      <w:pPr>
        <w:spacing w:after="80" w:before="80"/>
      </w:pPr>
      <w:r>
        <w:rPr>
          <w:rFonts w:ascii="Arial" w:cs="Arial" w:eastAsia="Arial" w:hAnsi="Arial"/>
          <w:color w:val="1A1A2E"/>
          <w:sz w:val="22"/>
          <w:szCs w:val="22"/>
        </w:rPr>
        <w:t xml:space="preserve">Minimum Qualification: Graduate in any discipline | Experience: 0–2 years</w:t>
      </w:r>
    </w:p>
    <w:p>
      <w:pPr>
        <w:spacing w:after="80" w:before="80"/>
      </w:pPr>
      <w:r>
        <w:rPr>
          <w:rFonts w:ascii="Arial" w:cs="Arial" w:eastAsia="Arial" w:hAnsi="Arial"/>
          <w:color w:val="1A1A2E"/>
          <w:sz w:val="22"/>
          <w:szCs w:val="22"/>
        </w:rPr>
        <w:t xml:space="preserve">Responsibilities:</w:t>
      </w:r>
    </w:p>
    <w:p>
      <w:pPr>
        <w:pStyle w:val="ListParagraph"/>
        <w:numPr>
          <w:ilvl w:val="0"/>
          <w:numId w:val="2"/>
        </w:numPr>
        <w:spacing w:after="60" w:before="60"/>
      </w:pPr>
      <w:r>
        <w:rPr>
          <w:rFonts w:ascii="Arial" w:cs="Arial" w:eastAsia="Arial" w:hAnsi="Arial"/>
          <w:color w:val="1A1A2E"/>
          <w:sz w:val="22"/>
          <w:szCs w:val="22"/>
        </w:rPr>
        <w:t xml:space="preserve">Handle inbound customer queries via phone, chat, and email</w:t>
      </w:r>
    </w:p>
    <w:p>
      <w:pPr>
        <w:pStyle w:val="ListParagraph"/>
        <w:numPr>
          <w:ilvl w:val="0"/>
          <w:numId w:val="2"/>
        </w:numPr>
        <w:spacing w:after="60" w:before="60"/>
      </w:pPr>
      <w:r>
        <w:rPr>
          <w:rFonts w:ascii="Arial" w:cs="Arial" w:eastAsia="Arial" w:hAnsi="Arial"/>
          <w:color w:val="1A1A2E"/>
          <w:sz w:val="22"/>
          <w:szCs w:val="22"/>
        </w:rPr>
        <w:t xml:space="preserve">Verify customer identity using CIF-based authentication protocols</w:t>
      </w:r>
    </w:p>
    <w:p>
      <w:pPr>
        <w:pStyle w:val="ListParagraph"/>
        <w:numPr>
          <w:ilvl w:val="0"/>
          <w:numId w:val="2"/>
        </w:numPr>
        <w:spacing w:after="60" w:before="60"/>
      </w:pPr>
      <w:r>
        <w:rPr>
          <w:rFonts w:ascii="Arial" w:cs="Arial" w:eastAsia="Arial" w:hAnsi="Arial"/>
          <w:color w:val="1A1A2E"/>
          <w:sz w:val="22"/>
          <w:szCs w:val="22"/>
        </w:rPr>
        <w:t xml:space="preserve">Provide account balance, transaction history, and statement information</w:t>
      </w:r>
    </w:p>
    <w:p>
      <w:pPr>
        <w:pStyle w:val="ListParagraph"/>
        <w:numPr>
          <w:ilvl w:val="0"/>
          <w:numId w:val="2"/>
        </w:numPr>
        <w:spacing w:after="60" w:before="60"/>
      </w:pPr>
      <w:r>
        <w:rPr>
          <w:rFonts w:ascii="Arial" w:cs="Arial" w:eastAsia="Arial" w:hAnsi="Arial"/>
          <w:color w:val="1A1A2E"/>
          <w:sz w:val="22"/>
          <w:szCs w:val="22"/>
        </w:rPr>
        <w:t xml:space="preserve">Process basic service requests: address changes, cheque book requests, etc.</w:t>
      </w:r>
    </w:p>
    <w:p>
      <w:pPr>
        <w:pStyle w:val="ListParagraph"/>
        <w:numPr>
          <w:ilvl w:val="0"/>
          <w:numId w:val="2"/>
        </w:numPr>
        <w:spacing w:after="60" w:before="60"/>
      </w:pPr>
      <w:r>
        <w:rPr>
          <w:rFonts w:ascii="Arial" w:cs="Arial" w:eastAsia="Arial" w:hAnsi="Arial"/>
          <w:color w:val="1A1A2E"/>
          <w:sz w:val="22"/>
          <w:szCs w:val="22"/>
        </w:rPr>
        <w:t xml:space="preserve">Log all interactions accurately in the CRM system within 5 minutes of call end</w:t>
      </w:r>
    </w:p>
    <w:p>
      <w:pPr>
        <w:pStyle w:val="ListParagraph"/>
        <w:numPr>
          <w:ilvl w:val="0"/>
          <w:numId w:val="2"/>
        </w:numPr>
        <w:spacing w:after="60" w:before="60"/>
      </w:pPr>
      <w:r>
        <w:rPr>
          <w:rFonts w:ascii="Arial" w:cs="Arial" w:eastAsia="Arial" w:hAnsi="Arial"/>
          <w:color w:val="1A1A2E"/>
          <w:sz w:val="22"/>
          <w:szCs w:val="22"/>
        </w:rPr>
        <w:t xml:space="preserve">Escalate unresolved or complex issues to Level 2 within the same session</w:t>
      </w:r>
    </w:p>
    <w:p>
      <w:pPr>
        <w:pStyle w:val="ListParagraph"/>
        <w:numPr>
          <w:ilvl w:val="0"/>
          <w:numId w:val="2"/>
        </w:numPr>
        <w:spacing w:after="60" w:before="60"/>
      </w:pPr>
      <w:r>
        <w:rPr>
          <w:rFonts w:ascii="Arial" w:cs="Arial" w:eastAsia="Arial" w:hAnsi="Arial"/>
          <w:color w:val="1A1A2E"/>
          <w:sz w:val="22"/>
          <w:szCs w:val="22"/>
        </w:rPr>
        <w:t xml:space="preserve">Meet daily call targets (minimum 60 calls per shift)</w:t>
      </w:r>
    </w:p>
    <w:p>
      <w:pPr>
        <w:pStyle w:val="ListParagraph"/>
        <w:numPr>
          <w:ilvl w:val="0"/>
          <w:numId w:val="2"/>
        </w:numPr>
        <w:spacing w:after="60" w:before="60"/>
      </w:pPr>
      <w:r>
        <w:rPr>
          <w:rFonts w:ascii="Arial" w:cs="Arial" w:eastAsia="Arial" w:hAnsi="Arial"/>
          <w:color w:val="1A1A2E"/>
          <w:sz w:val="22"/>
          <w:szCs w:val="22"/>
        </w:rPr>
        <w:t xml:space="preserve">Maintain CSAT score above 4.0 per monthly review</w:t>
      </w:r>
    </w:p>
    <w:p>
      <w:pPr>
        <w:spacing w:after="120" w:before="0"/>
      </w:pPr>
      <w:r>
        <w:t xml:space="preserve"/>
      </w:r>
    </w:p>
    <w:p>
      <w:pPr>
        <w:pStyle w:val="Heading2"/>
        <w:spacing w:after="160" w:before="280"/>
      </w:pPr>
      <w:r>
        <w:rPr>
          <w:rFonts w:ascii="Arial" w:cs="Arial" w:eastAsia="Arial" w:hAnsi="Arial"/>
          <w:b/>
          <w:bCs/>
          <w:color w:val="1F5C9E"/>
          <w:sz w:val="26"/>
          <w:szCs w:val="26"/>
        </w:rPr>
        <w:t xml:space="preserve">2.2 Senior Customer Service Representative – Level 2</w:t>
      </w:r>
    </w:p>
    <w:p>
      <w:pPr>
        <w:spacing w:after="80" w:before="80"/>
      </w:pPr>
      <w:r>
        <w:rPr>
          <w:rFonts w:ascii="Arial" w:cs="Arial" w:eastAsia="Arial" w:hAnsi="Arial"/>
          <w:color w:val="1A1A2E"/>
          <w:sz w:val="22"/>
          <w:szCs w:val="22"/>
        </w:rPr>
        <w:t xml:space="preserve">Minimum Qualification: Graduate + Banking Certification | Experience: 2–5 years</w:t>
      </w:r>
    </w:p>
    <w:p>
      <w:pPr>
        <w:spacing w:after="80" w:before="80"/>
      </w:pPr>
      <w:r>
        <w:rPr>
          <w:rFonts w:ascii="Arial" w:cs="Arial" w:eastAsia="Arial" w:hAnsi="Arial"/>
          <w:color w:val="1A1A2E"/>
          <w:sz w:val="22"/>
          <w:szCs w:val="22"/>
        </w:rPr>
        <w:t xml:space="preserve">Responsibilities:</w:t>
      </w:r>
    </w:p>
    <w:p>
      <w:pPr>
        <w:pStyle w:val="ListParagraph"/>
        <w:numPr>
          <w:ilvl w:val="0"/>
          <w:numId w:val="2"/>
        </w:numPr>
        <w:spacing w:after="60" w:before="60"/>
      </w:pPr>
      <w:r>
        <w:rPr>
          <w:rFonts w:ascii="Arial" w:cs="Arial" w:eastAsia="Arial" w:hAnsi="Arial"/>
          <w:color w:val="1A1A2E"/>
          <w:sz w:val="22"/>
          <w:szCs w:val="22"/>
        </w:rPr>
        <w:t xml:space="preserve">Handle escalated queries from Level 1 CSRs</w:t>
      </w:r>
    </w:p>
    <w:p>
      <w:pPr>
        <w:pStyle w:val="ListParagraph"/>
        <w:numPr>
          <w:ilvl w:val="0"/>
          <w:numId w:val="2"/>
        </w:numPr>
        <w:spacing w:after="60" w:before="60"/>
      </w:pPr>
      <w:r>
        <w:rPr>
          <w:rFonts w:ascii="Arial" w:cs="Arial" w:eastAsia="Arial" w:hAnsi="Arial"/>
          <w:color w:val="1A1A2E"/>
          <w:sz w:val="22"/>
          <w:szCs w:val="22"/>
        </w:rPr>
        <w:t xml:space="preserve">Process mid-complexity transactions: stop payments, RTGS corrections, FD pre-closures</w:t>
      </w:r>
    </w:p>
    <w:p>
      <w:pPr>
        <w:pStyle w:val="ListParagraph"/>
        <w:numPr>
          <w:ilvl w:val="0"/>
          <w:numId w:val="2"/>
        </w:numPr>
        <w:spacing w:after="60" w:before="60"/>
      </w:pPr>
      <w:r>
        <w:rPr>
          <w:rFonts w:ascii="Arial" w:cs="Arial" w:eastAsia="Arial" w:hAnsi="Arial"/>
          <w:color w:val="1A1A2E"/>
          <w:sz w:val="22"/>
          <w:szCs w:val="22"/>
        </w:rPr>
        <w:t xml:space="preserve">Authorize waivers up to ₹500 (penalty charges, late fees)</w:t>
      </w:r>
    </w:p>
    <w:p>
      <w:pPr>
        <w:pStyle w:val="ListParagraph"/>
        <w:numPr>
          <w:ilvl w:val="0"/>
          <w:numId w:val="2"/>
        </w:numPr>
        <w:spacing w:after="60" w:before="60"/>
      </w:pPr>
      <w:r>
        <w:rPr>
          <w:rFonts w:ascii="Arial" w:cs="Arial" w:eastAsia="Arial" w:hAnsi="Arial"/>
          <w:color w:val="1A1A2E"/>
          <w:sz w:val="22"/>
          <w:szCs w:val="22"/>
        </w:rPr>
        <w:t xml:space="preserve">Conduct callbacks for unresolved cases within 4 working hours</w:t>
      </w:r>
    </w:p>
    <w:p>
      <w:pPr>
        <w:pStyle w:val="ListParagraph"/>
        <w:numPr>
          <w:ilvl w:val="0"/>
          <w:numId w:val="2"/>
        </w:numPr>
        <w:spacing w:after="60" w:before="60"/>
      </w:pPr>
      <w:r>
        <w:rPr>
          <w:rFonts w:ascii="Arial" w:cs="Arial" w:eastAsia="Arial" w:hAnsi="Arial"/>
          <w:color w:val="1A1A2E"/>
          <w:sz w:val="22"/>
          <w:szCs w:val="22"/>
        </w:rPr>
        <w:t xml:space="preserve">Mentor Level 1 CSRs during daily briefing sessions</w:t>
      </w:r>
    </w:p>
    <w:p>
      <w:pPr>
        <w:pStyle w:val="ListParagraph"/>
        <w:numPr>
          <w:ilvl w:val="0"/>
          <w:numId w:val="2"/>
        </w:numPr>
        <w:spacing w:after="60" w:before="60"/>
      </w:pPr>
      <w:r>
        <w:rPr>
          <w:rFonts w:ascii="Arial" w:cs="Arial" w:eastAsia="Arial" w:hAnsi="Arial"/>
          <w:color w:val="1A1A2E"/>
          <w:sz w:val="22"/>
          <w:szCs w:val="22"/>
        </w:rPr>
        <w:t xml:space="preserve">Generate daily quality check reports for team lead review</w:t>
      </w:r>
    </w:p>
    <w:p>
      <w:pPr>
        <w:pStyle w:val="ListParagraph"/>
        <w:numPr>
          <w:ilvl w:val="0"/>
          <w:numId w:val="2"/>
        </w:numPr>
        <w:spacing w:after="60" w:before="60"/>
      </w:pPr>
      <w:r>
        <w:rPr>
          <w:rFonts w:ascii="Arial" w:cs="Arial" w:eastAsia="Arial" w:hAnsi="Arial"/>
          <w:color w:val="1A1A2E"/>
          <w:sz w:val="22"/>
          <w:szCs w:val="22"/>
        </w:rPr>
        <w:t xml:space="preserve">Handle VIP and Priority Banking customers</w:t>
      </w:r>
    </w:p>
    <w:p>
      <w:pPr>
        <w:spacing w:after="120" w:before="0"/>
      </w:pPr>
      <w:r>
        <w:t xml:space="preserve"/>
      </w:r>
    </w:p>
    <w:p>
      <w:pPr>
        <w:pStyle w:val="Heading2"/>
        <w:spacing w:after="160" w:before="280"/>
      </w:pPr>
      <w:r>
        <w:rPr>
          <w:rFonts w:ascii="Arial" w:cs="Arial" w:eastAsia="Arial" w:hAnsi="Arial"/>
          <w:b/>
          <w:bCs/>
          <w:color w:val="1F5C9E"/>
          <w:sz w:val="26"/>
          <w:szCs w:val="26"/>
        </w:rPr>
        <w:t xml:space="preserve">2.3 Team Lead / Floor Supervisor</w:t>
      </w:r>
    </w:p>
    <w:p>
      <w:pPr>
        <w:spacing w:after="80" w:before="80"/>
      </w:pPr>
      <w:r>
        <w:rPr>
          <w:rFonts w:ascii="Arial" w:cs="Arial" w:eastAsia="Arial" w:hAnsi="Arial"/>
          <w:color w:val="1A1A2E"/>
          <w:sz w:val="22"/>
          <w:szCs w:val="22"/>
        </w:rPr>
        <w:t xml:space="preserve">Minimum Qualification: Graduate + 2+ Banking Certifications | Experience: 5–8 years</w:t>
      </w:r>
    </w:p>
    <w:p>
      <w:pPr>
        <w:spacing w:after="80" w:before="80"/>
      </w:pPr>
      <w:r>
        <w:rPr>
          <w:rFonts w:ascii="Arial" w:cs="Arial" w:eastAsia="Arial" w:hAnsi="Arial"/>
          <w:color w:val="1A1A2E"/>
          <w:sz w:val="22"/>
          <w:szCs w:val="22"/>
        </w:rPr>
        <w:t xml:space="preserve">Responsibilities:</w:t>
      </w:r>
    </w:p>
    <w:p>
      <w:pPr>
        <w:pStyle w:val="ListParagraph"/>
        <w:numPr>
          <w:ilvl w:val="0"/>
          <w:numId w:val="2"/>
        </w:numPr>
        <w:spacing w:after="60" w:before="60"/>
      </w:pPr>
      <w:r>
        <w:rPr>
          <w:rFonts w:ascii="Arial" w:cs="Arial" w:eastAsia="Arial" w:hAnsi="Arial"/>
          <w:color w:val="1A1A2E"/>
          <w:sz w:val="22"/>
          <w:szCs w:val="22"/>
        </w:rPr>
        <w:t xml:space="preserve">Oversee a team of 12–15 CSRs and Senior CSRs</w:t>
      </w:r>
    </w:p>
    <w:p>
      <w:pPr>
        <w:pStyle w:val="ListParagraph"/>
        <w:numPr>
          <w:ilvl w:val="0"/>
          <w:numId w:val="2"/>
        </w:numPr>
        <w:spacing w:after="60" w:before="60"/>
      </w:pPr>
      <w:r>
        <w:rPr>
          <w:rFonts w:ascii="Arial" w:cs="Arial" w:eastAsia="Arial" w:hAnsi="Arial"/>
          <w:color w:val="1A1A2E"/>
          <w:sz w:val="22"/>
          <w:szCs w:val="22"/>
        </w:rPr>
        <w:t xml:space="preserve">Monitor real-time call queues and manage staffing allocation</w:t>
      </w:r>
    </w:p>
    <w:p>
      <w:pPr>
        <w:pStyle w:val="ListParagraph"/>
        <w:numPr>
          <w:ilvl w:val="0"/>
          <w:numId w:val="2"/>
        </w:numPr>
        <w:spacing w:after="60" w:before="60"/>
      </w:pPr>
      <w:r>
        <w:rPr>
          <w:rFonts w:ascii="Arial" w:cs="Arial" w:eastAsia="Arial" w:hAnsi="Arial"/>
          <w:color w:val="1A1A2E"/>
          <w:sz w:val="22"/>
          <w:szCs w:val="22"/>
        </w:rPr>
        <w:t xml:space="preserve">Handle escalations beyond Level 2 authority</w:t>
      </w:r>
    </w:p>
    <w:p>
      <w:pPr>
        <w:pStyle w:val="ListParagraph"/>
        <w:numPr>
          <w:ilvl w:val="0"/>
          <w:numId w:val="2"/>
        </w:numPr>
        <w:spacing w:after="60" w:before="60"/>
      </w:pPr>
      <w:r>
        <w:rPr>
          <w:rFonts w:ascii="Arial" w:cs="Arial" w:eastAsia="Arial" w:hAnsi="Arial"/>
          <w:color w:val="1A1A2E"/>
          <w:sz w:val="22"/>
          <w:szCs w:val="22"/>
        </w:rPr>
        <w:t xml:space="preserve">Conduct weekly 1-on-1 performance reviews with team members</w:t>
      </w:r>
    </w:p>
    <w:p>
      <w:pPr>
        <w:pStyle w:val="ListParagraph"/>
        <w:numPr>
          <w:ilvl w:val="0"/>
          <w:numId w:val="2"/>
        </w:numPr>
        <w:spacing w:after="60" w:before="60"/>
      </w:pPr>
      <w:r>
        <w:rPr>
          <w:rFonts w:ascii="Arial" w:cs="Arial" w:eastAsia="Arial" w:hAnsi="Arial"/>
          <w:color w:val="1A1A2E"/>
          <w:sz w:val="22"/>
          <w:szCs w:val="22"/>
        </w:rPr>
        <w:t xml:space="preserve">Approve waivers up to ₹2,000</w:t>
      </w:r>
    </w:p>
    <w:p>
      <w:pPr>
        <w:pStyle w:val="ListParagraph"/>
        <w:numPr>
          <w:ilvl w:val="0"/>
          <w:numId w:val="2"/>
        </w:numPr>
        <w:spacing w:after="60" w:before="60"/>
      </w:pPr>
      <w:r>
        <w:rPr>
          <w:rFonts w:ascii="Arial" w:cs="Arial" w:eastAsia="Arial" w:hAnsi="Arial"/>
          <w:color w:val="1A1A2E"/>
          <w:sz w:val="22"/>
          <w:szCs w:val="22"/>
        </w:rPr>
        <w:t xml:space="preserve">Submit daily SLA compliance reports to the Assistant Manager</w:t>
      </w:r>
    </w:p>
    <w:p>
      <w:pPr>
        <w:pStyle w:val="ListParagraph"/>
        <w:numPr>
          <w:ilvl w:val="0"/>
          <w:numId w:val="2"/>
        </w:numPr>
        <w:spacing w:after="60" w:before="60"/>
      </w:pPr>
      <w:r>
        <w:rPr>
          <w:rFonts w:ascii="Arial" w:cs="Arial" w:eastAsia="Arial" w:hAnsi="Arial"/>
          <w:color w:val="1A1A2E"/>
          <w:sz w:val="22"/>
          <w:szCs w:val="22"/>
        </w:rPr>
        <w:t xml:space="preserve">Coordinate with branch teams for walk-in complaint resolution</w:t>
      </w:r>
    </w:p>
    <w:p>
      <w:pPr>
        <w:spacing w:after="120" w:before="0"/>
      </w:pPr>
      <w:r>
        <w:t xml:space="preserve"/>
      </w:r>
    </w:p>
    <w:p>
      <w:pPr>
        <w:pStyle w:val="Heading2"/>
        <w:spacing w:after="160" w:before="280"/>
      </w:pPr>
      <w:r>
        <w:rPr>
          <w:rFonts w:ascii="Arial" w:cs="Arial" w:eastAsia="Arial" w:hAnsi="Arial"/>
          <w:b/>
          <w:bCs/>
          <w:color w:val="1F5C9E"/>
          <w:sz w:val="26"/>
          <w:szCs w:val="26"/>
        </w:rPr>
        <w:t xml:space="preserve">2.4 Quality Assurance (QA) Analyst</w:t>
      </w:r>
    </w:p>
    <w:p>
      <w:pPr>
        <w:spacing w:after="80" w:before="80"/>
      </w:pPr>
      <w:r>
        <w:rPr>
          <w:rFonts w:ascii="Arial" w:cs="Arial" w:eastAsia="Arial" w:hAnsi="Arial"/>
          <w:color w:val="1A1A2E"/>
          <w:sz w:val="22"/>
          <w:szCs w:val="22"/>
        </w:rPr>
        <w:t xml:space="preserve">Minimum Qualification: Graduate + CQPA Certification | Experience: 3–6 years</w:t>
      </w:r>
    </w:p>
    <w:p>
      <w:pPr>
        <w:spacing w:after="80" w:before="80"/>
      </w:pPr>
      <w:r>
        <w:rPr>
          <w:rFonts w:ascii="Arial" w:cs="Arial" w:eastAsia="Arial" w:hAnsi="Arial"/>
          <w:color w:val="1A1A2E"/>
          <w:sz w:val="22"/>
          <w:szCs w:val="22"/>
        </w:rPr>
        <w:t xml:space="preserve">Responsibilities:</w:t>
      </w:r>
    </w:p>
    <w:p>
      <w:pPr>
        <w:pStyle w:val="ListParagraph"/>
        <w:numPr>
          <w:ilvl w:val="0"/>
          <w:numId w:val="2"/>
        </w:numPr>
        <w:spacing w:after="60" w:before="60"/>
      </w:pPr>
      <w:r>
        <w:rPr>
          <w:rFonts w:ascii="Arial" w:cs="Arial" w:eastAsia="Arial" w:hAnsi="Arial"/>
          <w:color w:val="1A1A2E"/>
          <w:sz w:val="22"/>
          <w:szCs w:val="22"/>
        </w:rPr>
        <w:t xml:space="preserve">Monitor and evaluate minimum 10 calls per CSR per month</w:t>
      </w:r>
    </w:p>
    <w:p>
      <w:pPr>
        <w:pStyle w:val="ListParagraph"/>
        <w:numPr>
          <w:ilvl w:val="0"/>
          <w:numId w:val="2"/>
        </w:numPr>
        <w:spacing w:after="60" w:before="60"/>
      </w:pPr>
      <w:r>
        <w:rPr>
          <w:rFonts w:ascii="Arial" w:cs="Arial" w:eastAsia="Arial" w:hAnsi="Arial"/>
          <w:color w:val="1A1A2E"/>
          <w:sz w:val="22"/>
          <w:szCs w:val="22"/>
        </w:rPr>
        <w:t xml:space="preserve">Score interactions based on FutureTrust's QA Scorecard (100-point system)</w:t>
      </w:r>
    </w:p>
    <w:p>
      <w:pPr>
        <w:pStyle w:val="ListParagraph"/>
        <w:numPr>
          <w:ilvl w:val="0"/>
          <w:numId w:val="2"/>
        </w:numPr>
        <w:spacing w:after="60" w:before="60"/>
      </w:pPr>
      <w:r>
        <w:rPr>
          <w:rFonts w:ascii="Arial" w:cs="Arial" w:eastAsia="Arial" w:hAnsi="Arial"/>
          <w:color w:val="1A1A2E"/>
          <w:sz w:val="22"/>
          <w:szCs w:val="22"/>
        </w:rPr>
        <w:t xml:space="preserve">Identify training gaps and share findings with Training &amp; Development team</w:t>
      </w:r>
    </w:p>
    <w:p>
      <w:pPr>
        <w:pStyle w:val="ListParagraph"/>
        <w:numPr>
          <w:ilvl w:val="0"/>
          <w:numId w:val="2"/>
        </w:numPr>
        <w:spacing w:after="60" w:before="60"/>
      </w:pPr>
      <w:r>
        <w:rPr>
          <w:rFonts w:ascii="Arial" w:cs="Arial" w:eastAsia="Arial" w:hAnsi="Arial"/>
          <w:color w:val="1A1A2E"/>
          <w:sz w:val="22"/>
          <w:szCs w:val="22"/>
        </w:rPr>
        <w:t xml:space="preserve">Generate monthly QA dashboards for department management</w:t>
      </w:r>
    </w:p>
    <w:p>
      <w:pPr>
        <w:pStyle w:val="ListParagraph"/>
        <w:numPr>
          <w:ilvl w:val="0"/>
          <w:numId w:val="2"/>
        </w:numPr>
        <w:spacing w:after="60" w:before="60"/>
      </w:pPr>
      <w:r>
        <w:rPr>
          <w:rFonts w:ascii="Arial" w:cs="Arial" w:eastAsia="Arial" w:hAnsi="Arial"/>
          <w:color w:val="1A1A2E"/>
          <w:sz w:val="22"/>
          <w:szCs w:val="22"/>
        </w:rPr>
        <w:t xml:space="preserve">Conduct compliance audits to ensure RBI and IBA guideline adherence</w:t>
      </w:r>
    </w:p>
    <w:p>
      <w:pPr>
        <w:spacing w:after="120" w:before="0"/>
      </w:pPr>
      <w:r>
        <w:t xml:space="preserve"/>
      </w:r>
    </w:p>
    <w:p>
      <w:pPr>
        <w:pStyle w:val="Heading2"/>
        <w:spacing w:after="160" w:before="280"/>
      </w:pPr>
      <w:r>
        <w:rPr>
          <w:rFonts w:ascii="Arial" w:cs="Arial" w:eastAsia="Arial" w:hAnsi="Arial"/>
          <w:b/>
          <w:bCs/>
          <w:color w:val="1F5C9E"/>
          <w:sz w:val="26"/>
          <w:szCs w:val="26"/>
        </w:rPr>
        <w:t xml:space="preserve">2.5 Complaint Resolution Officer (CRO)</w:t>
      </w:r>
    </w:p>
    <w:p>
      <w:pPr>
        <w:spacing w:after="80" w:before="80"/>
      </w:pPr>
      <w:r>
        <w:rPr>
          <w:rFonts w:ascii="Arial" w:cs="Arial" w:eastAsia="Arial" w:hAnsi="Arial"/>
          <w:color w:val="1A1A2E"/>
          <w:sz w:val="22"/>
          <w:szCs w:val="22"/>
        </w:rPr>
        <w:t xml:space="preserve">Minimum Qualification: Law/Finance Graduate | Experience: 4–7 years</w:t>
      </w:r>
    </w:p>
    <w:p>
      <w:pPr>
        <w:spacing w:after="80" w:before="80"/>
      </w:pPr>
      <w:r>
        <w:rPr>
          <w:rFonts w:ascii="Arial" w:cs="Arial" w:eastAsia="Arial" w:hAnsi="Arial"/>
          <w:color w:val="1A1A2E"/>
          <w:sz w:val="22"/>
          <w:szCs w:val="22"/>
        </w:rPr>
        <w:t xml:space="preserve">Responsibilities:</w:t>
      </w:r>
    </w:p>
    <w:p>
      <w:pPr>
        <w:pStyle w:val="ListParagraph"/>
        <w:numPr>
          <w:ilvl w:val="0"/>
          <w:numId w:val="2"/>
        </w:numPr>
        <w:spacing w:after="60" w:before="60"/>
      </w:pPr>
      <w:r>
        <w:rPr>
          <w:rFonts w:ascii="Arial" w:cs="Arial" w:eastAsia="Arial" w:hAnsi="Arial"/>
          <w:color w:val="1A1A2E"/>
          <w:sz w:val="22"/>
          <w:szCs w:val="22"/>
        </w:rPr>
        <w:t xml:space="preserve">Own all formal written complaints received via email, branch, or RBI portal</w:t>
      </w:r>
    </w:p>
    <w:p>
      <w:pPr>
        <w:pStyle w:val="ListParagraph"/>
        <w:numPr>
          <w:ilvl w:val="0"/>
          <w:numId w:val="2"/>
        </w:numPr>
        <w:spacing w:after="60" w:before="60"/>
      </w:pPr>
      <w:r>
        <w:rPr>
          <w:rFonts w:ascii="Arial" w:cs="Arial" w:eastAsia="Arial" w:hAnsi="Arial"/>
          <w:color w:val="1A1A2E"/>
          <w:sz w:val="22"/>
          <w:szCs w:val="22"/>
        </w:rPr>
        <w:t xml:space="preserve">Ensure all Level 1 complaints are resolved within 5 business days</w:t>
      </w:r>
    </w:p>
    <w:p>
      <w:pPr>
        <w:pStyle w:val="ListParagraph"/>
        <w:numPr>
          <w:ilvl w:val="0"/>
          <w:numId w:val="2"/>
        </w:numPr>
        <w:spacing w:after="60" w:before="60"/>
      </w:pPr>
      <w:r>
        <w:rPr>
          <w:rFonts w:ascii="Arial" w:cs="Arial" w:eastAsia="Arial" w:hAnsi="Arial"/>
          <w:color w:val="1A1A2E"/>
          <w:sz w:val="22"/>
          <w:szCs w:val="22"/>
        </w:rPr>
        <w:t xml:space="preserve">Coordinate with internal departments (Operations, Loans, Cards) for resolution</w:t>
      </w:r>
    </w:p>
    <w:p>
      <w:pPr>
        <w:pStyle w:val="ListParagraph"/>
        <w:numPr>
          <w:ilvl w:val="0"/>
          <w:numId w:val="2"/>
        </w:numPr>
        <w:spacing w:after="60" w:before="60"/>
      </w:pPr>
      <w:r>
        <w:rPr>
          <w:rFonts w:ascii="Arial" w:cs="Arial" w:eastAsia="Arial" w:hAnsi="Arial"/>
          <w:color w:val="1A1A2E"/>
          <w:sz w:val="22"/>
          <w:szCs w:val="22"/>
        </w:rPr>
        <w:t xml:space="preserve">Prepare and submit Monthly Complaint Analysis Report to Senior Management</w:t>
      </w:r>
    </w:p>
    <w:p>
      <w:pPr>
        <w:pStyle w:val="ListParagraph"/>
        <w:numPr>
          <w:ilvl w:val="0"/>
          <w:numId w:val="2"/>
        </w:numPr>
        <w:spacing w:after="60" w:before="60"/>
      </w:pPr>
      <w:r>
        <w:rPr>
          <w:rFonts w:ascii="Arial" w:cs="Arial" w:eastAsia="Arial" w:hAnsi="Arial"/>
          <w:color w:val="1A1A2E"/>
          <w:sz w:val="22"/>
          <w:szCs w:val="22"/>
        </w:rPr>
        <w:t xml:space="preserve">Represent CSD in Banking Ombudsman proceedings</w:t>
      </w:r>
    </w:p>
    <w:p>
      <w:pPr>
        <w:spacing w:after="120" w:before="0"/>
      </w:pPr>
      <w:r>
        <w:t xml:space="preserve"/>
      </w:r>
    </w:p>
    <w:p>
      <w:pPr>
        <w:pStyle w:val="Heading2"/>
        <w:spacing w:after="160" w:before="280"/>
      </w:pPr>
      <w:r>
        <w:rPr>
          <w:rFonts w:ascii="Arial" w:cs="Arial" w:eastAsia="Arial" w:hAnsi="Arial"/>
          <w:b/>
          <w:bCs/>
          <w:color w:val="1F5C9E"/>
          <w:sz w:val="26"/>
          <w:szCs w:val="26"/>
        </w:rPr>
        <w:t xml:space="preserve">2.6 Fraud and Risk Response Specialist</w:t>
      </w:r>
    </w:p>
    <w:p>
      <w:pPr>
        <w:spacing w:after="80" w:before="80"/>
      </w:pPr>
      <w:r>
        <w:rPr>
          <w:rFonts w:ascii="Arial" w:cs="Arial" w:eastAsia="Arial" w:hAnsi="Arial"/>
          <w:color w:val="1A1A2E"/>
          <w:sz w:val="22"/>
          <w:szCs w:val="22"/>
        </w:rPr>
        <w:t xml:space="preserve">Minimum Qualification: Finance/IT Graduate + Fraud Management Certification | Experience: 3–6 years</w:t>
      </w:r>
    </w:p>
    <w:p>
      <w:pPr>
        <w:spacing w:after="80" w:before="80"/>
      </w:pPr>
      <w:r>
        <w:rPr>
          <w:rFonts w:ascii="Arial" w:cs="Arial" w:eastAsia="Arial" w:hAnsi="Arial"/>
          <w:color w:val="1A1A2E"/>
          <w:sz w:val="22"/>
          <w:szCs w:val="22"/>
        </w:rPr>
        <w:t xml:space="preserve">Responsibilities:</w:t>
      </w:r>
    </w:p>
    <w:p>
      <w:pPr>
        <w:pStyle w:val="ListParagraph"/>
        <w:numPr>
          <w:ilvl w:val="0"/>
          <w:numId w:val="2"/>
        </w:numPr>
        <w:spacing w:after="60" w:before="60"/>
      </w:pPr>
      <w:r>
        <w:rPr>
          <w:rFonts w:ascii="Arial" w:cs="Arial" w:eastAsia="Arial" w:hAnsi="Arial"/>
          <w:color w:val="1A1A2E"/>
          <w:sz w:val="22"/>
          <w:szCs w:val="22"/>
        </w:rPr>
        <w:t xml:space="preserve">Respond to fraud alerts and unauthorized transaction reports within 30 minutes</w:t>
      </w:r>
    </w:p>
    <w:p>
      <w:pPr>
        <w:pStyle w:val="ListParagraph"/>
        <w:numPr>
          <w:ilvl w:val="0"/>
          <w:numId w:val="2"/>
        </w:numPr>
        <w:spacing w:after="60" w:before="60"/>
      </w:pPr>
      <w:r>
        <w:rPr>
          <w:rFonts w:ascii="Arial" w:cs="Arial" w:eastAsia="Arial" w:hAnsi="Arial"/>
          <w:color w:val="1A1A2E"/>
          <w:sz w:val="22"/>
          <w:szCs w:val="22"/>
        </w:rPr>
        <w:t xml:space="preserve">Coordinate with the Fraud Investigation Team (FIT) for case management</w:t>
      </w:r>
    </w:p>
    <w:p>
      <w:pPr>
        <w:pStyle w:val="ListParagraph"/>
        <w:numPr>
          <w:ilvl w:val="0"/>
          <w:numId w:val="2"/>
        </w:numPr>
        <w:spacing w:after="60" w:before="60"/>
      </w:pPr>
      <w:r>
        <w:rPr>
          <w:rFonts w:ascii="Arial" w:cs="Arial" w:eastAsia="Arial" w:hAnsi="Arial"/>
          <w:color w:val="1A1A2E"/>
          <w:sz w:val="22"/>
          <w:szCs w:val="22"/>
        </w:rPr>
        <w:t xml:space="preserve">Block compromised cards and accounts immediately upon verified reports</w:t>
      </w:r>
    </w:p>
    <w:p>
      <w:pPr>
        <w:pStyle w:val="ListParagraph"/>
        <w:numPr>
          <w:ilvl w:val="0"/>
          <w:numId w:val="2"/>
        </w:numPr>
        <w:spacing w:after="60" w:before="60"/>
      </w:pPr>
      <w:r>
        <w:rPr>
          <w:rFonts w:ascii="Arial" w:cs="Arial" w:eastAsia="Arial" w:hAnsi="Arial"/>
          <w:color w:val="1A1A2E"/>
          <w:sz w:val="22"/>
          <w:szCs w:val="22"/>
        </w:rPr>
        <w:t xml:space="preserve">Guide customers through fraud reporting and recovery processes</w:t>
      </w:r>
    </w:p>
    <w:p>
      <w:pPr>
        <w:pStyle w:val="ListParagraph"/>
        <w:numPr>
          <w:ilvl w:val="0"/>
          <w:numId w:val="2"/>
        </w:numPr>
        <w:spacing w:after="60" w:before="60"/>
      </w:pPr>
      <w:r>
        <w:rPr>
          <w:rFonts w:ascii="Arial" w:cs="Arial" w:eastAsia="Arial" w:hAnsi="Arial"/>
          <w:color w:val="1A1A2E"/>
          <w:sz w:val="22"/>
          <w:szCs w:val="22"/>
        </w:rPr>
        <w:t xml:space="preserve">Maintain fraud case logs in the CAMS (Customer Alert Management System)</w:t>
      </w:r>
    </w:p>
    <w:p>
      <w:pPr>
        <w:spacing w:after="120" w:before="0"/>
      </w:pPr>
      <w:r>
        <w:t xml:space="preserve"/>
      </w:r>
    </w:p>
    <w:p>
      <w:pPr>
        <w:pStyle w:val="Heading2"/>
        <w:spacing w:after="160" w:before="280"/>
      </w:pPr>
      <w:r>
        <w:rPr>
          <w:rFonts w:ascii="Arial" w:cs="Arial" w:eastAsia="Arial" w:hAnsi="Arial"/>
          <w:b/>
          <w:bCs/>
          <w:color w:val="1F5C9E"/>
          <w:sz w:val="26"/>
          <w:szCs w:val="26"/>
        </w:rPr>
        <w:t xml:space="preserve">2.7 Digital Banking Support Specialist</w:t>
      </w:r>
    </w:p>
    <w:p>
      <w:pPr>
        <w:spacing w:after="80" w:before="80"/>
      </w:pPr>
      <w:r>
        <w:rPr>
          <w:rFonts w:ascii="Arial" w:cs="Arial" w:eastAsia="Arial" w:hAnsi="Arial"/>
          <w:color w:val="1A1A2E"/>
          <w:sz w:val="22"/>
          <w:szCs w:val="22"/>
        </w:rPr>
        <w:t xml:space="preserve">Minimum Qualification: IT/CS Graduate | Experience: 2–5 years</w:t>
      </w:r>
    </w:p>
    <w:p>
      <w:pPr>
        <w:spacing w:after="80" w:before="80"/>
      </w:pPr>
      <w:r>
        <w:rPr>
          <w:rFonts w:ascii="Arial" w:cs="Arial" w:eastAsia="Arial" w:hAnsi="Arial"/>
          <w:color w:val="1A1A2E"/>
          <w:sz w:val="22"/>
          <w:szCs w:val="22"/>
        </w:rPr>
        <w:t xml:space="preserve">Responsibilities:</w:t>
      </w:r>
    </w:p>
    <w:p>
      <w:pPr>
        <w:pStyle w:val="ListParagraph"/>
        <w:numPr>
          <w:ilvl w:val="0"/>
          <w:numId w:val="2"/>
        </w:numPr>
        <w:spacing w:after="60" w:before="60"/>
      </w:pPr>
      <w:r>
        <w:rPr>
          <w:rFonts w:ascii="Arial" w:cs="Arial" w:eastAsia="Arial" w:hAnsi="Arial"/>
          <w:color w:val="1A1A2E"/>
          <w:sz w:val="22"/>
          <w:szCs w:val="22"/>
        </w:rPr>
        <w:t xml:space="preserve">Resolve all issues related to FutureTrust NetBanking and FuturePay Mobile App</w:t>
      </w:r>
    </w:p>
    <w:p>
      <w:pPr>
        <w:pStyle w:val="ListParagraph"/>
        <w:numPr>
          <w:ilvl w:val="0"/>
          <w:numId w:val="2"/>
        </w:numPr>
        <w:spacing w:after="60" w:before="60"/>
      </w:pPr>
      <w:r>
        <w:rPr>
          <w:rFonts w:ascii="Arial" w:cs="Arial" w:eastAsia="Arial" w:hAnsi="Arial"/>
          <w:color w:val="1A1A2E"/>
          <w:sz w:val="22"/>
          <w:szCs w:val="22"/>
        </w:rPr>
        <w:t xml:space="preserve">Assist customers with UPI registration, IMPS failures, and account linking</w:t>
      </w:r>
    </w:p>
    <w:p>
      <w:pPr>
        <w:pStyle w:val="ListParagraph"/>
        <w:numPr>
          <w:ilvl w:val="0"/>
          <w:numId w:val="2"/>
        </w:numPr>
        <w:spacing w:after="60" w:before="60"/>
      </w:pPr>
      <w:r>
        <w:rPr>
          <w:rFonts w:ascii="Arial" w:cs="Arial" w:eastAsia="Arial" w:hAnsi="Arial"/>
          <w:color w:val="1A1A2E"/>
          <w:sz w:val="22"/>
          <w:szCs w:val="22"/>
        </w:rPr>
        <w:t xml:space="preserve">Coordinate with IT helpdesk for system-level issues affecting multiple customers</w:t>
      </w:r>
    </w:p>
    <w:p>
      <w:pPr>
        <w:pStyle w:val="ListParagraph"/>
        <w:numPr>
          <w:ilvl w:val="0"/>
          <w:numId w:val="2"/>
        </w:numPr>
        <w:spacing w:after="60" w:before="60"/>
      </w:pPr>
      <w:r>
        <w:rPr>
          <w:rFonts w:ascii="Arial" w:cs="Arial" w:eastAsia="Arial" w:hAnsi="Arial"/>
          <w:color w:val="1A1A2E"/>
          <w:sz w:val="22"/>
          <w:szCs w:val="22"/>
        </w:rPr>
        <w:t xml:space="preserve">Provide screen-share assistance via secure remote desktop sessions when required</w:t>
      </w:r>
    </w:p>
    <w:p>
      <w:pPr>
        <w:pStyle w:val="ListParagraph"/>
        <w:numPr>
          <w:ilvl w:val="0"/>
          <w:numId w:val="2"/>
        </w:numPr>
        <w:spacing w:after="60" w:before="60"/>
      </w:pPr>
      <w:r>
        <w:rPr>
          <w:rFonts w:ascii="Arial" w:cs="Arial" w:eastAsia="Arial" w:hAnsi="Arial"/>
          <w:color w:val="1A1A2E"/>
          <w:sz w:val="22"/>
          <w:szCs w:val="22"/>
        </w:rPr>
        <w:t xml:space="preserve">Maintain digital service incident logs and escalate P1 issues immediately</w:t>
      </w:r>
    </w:p>
    <w:p>
      <w:r>
        <w:br w:type="page"/>
      </w:r>
    </w:p>
    <w:p>
      <w:pPr>
        <w:pStyle w:val="Heading1"/>
        <w:spacing w:after="200" w:before="360"/>
      </w:pPr>
      <w:r>
        <w:rPr>
          <w:rFonts w:ascii="Arial" w:cs="Arial" w:eastAsia="Arial" w:hAnsi="Arial"/>
          <w:b/>
          <w:bCs/>
          <w:color w:val="003366"/>
          <w:sz w:val="32"/>
          <w:szCs w:val="32"/>
        </w:rPr>
        <w:t xml:space="preserve">3. Standard Operating Procedures (SOPs)</w:t>
      </w:r>
    </w:p>
    <w:p>
      <w:pPr>
        <w:pStyle w:val="Heading2"/>
        <w:spacing w:after="160" w:before="280"/>
      </w:pPr>
      <w:r>
        <w:rPr>
          <w:rFonts w:ascii="Arial" w:cs="Arial" w:eastAsia="Arial" w:hAnsi="Arial"/>
          <w:b/>
          <w:bCs/>
          <w:color w:val="1F5C9E"/>
          <w:sz w:val="26"/>
          <w:szCs w:val="26"/>
        </w:rPr>
        <w:t xml:space="preserve">3.1 Customer Authentication SOP</w:t>
      </w:r>
    </w:p>
    <w:p>
      <w:pPr>
        <w:spacing w:after="80" w:before="80"/>
      </w:pPr>
      <w:r>
        <w:rPr>
          <w:rFonts w:ascii="Arial" w:cs="Arial" w:eastAsia="Arial" w:hAnsi="Arial"/>
          <w:color w:val="1A1A2E"/>
          <w:sz w:val="22"/>
          <w:szCs w:val="22"/>
        </w:rPr>
        <w:t xml:space="preserve">All customer interactions must begin with a mandatory authentication sequence to protect customer data and comply with RBI KYC norms.</w:t>
      </w:r>
    </w:p>
    <w:p>
      <w:pPr>
        <w:spacing w:after="120" w:before="0"/>
      </w:pPr>
      <w:r>
        <w:t xml:space="preserve"/>
      </w:r>
    </w:p>
    <w:p>
      <w:pPr>
        <w:spacing w:after="80" w:before="80"/>
      </w:pPr>
      <w:r>
        <w:rPr>
          <w:rFonts w:ascii="Arial" w:cs="Arial" w:eastAsia="Arial" w:hAnsi="Arial"/>
          <w:color w:val="1A1A2E"/>
          <w:sz w:val="22"/>
          <w:szCs w:val="22"/>
        </w:rPr>
        <w:t xml:space="preserve">Authentication Steps:</w:t>
      </w:r>
    </w:p>
    <w:p>
      <w:pPr>
        <w:pStyle w:val="ListParagraph"/>
        <w:numPr>
          <w:ilvl w:val="0"/>
          <w:numId w:val="3"/>
        </w:numPr>
        <w:spacing w:after="60" w:before="60"/>
      </w:pPr>
      <w:r>
        <w:rPr>
          <w:rFonts w:ascii="Arial" w:cs="Arial" w:eastAsia="Arial" w:hAnsi="Arial"/>
          <w:color w:val="1A1A2E"/>
          <w:sz w:val="22"/>
          <w:szCs w:val="22"/>
        </w:rPr>
        <w:t xml:space="preserve">Greet customer: 'Thank you for calling FutureTrust Bank, my name is [Name]. How may I assist you?'</w:t>
      </w:r>
    </w:p>
    <w:p>
      <w:pPr>
        <w:pStyle w:val="ListParagraph"/>
        <w:numPr>
          <w:ilvl w:val="0"/>
          <w:numId w:val="3"/>
        </w:numPr>
        <w:spacing w:after="60" w:before="60"/>
      </w:pPr>
      <w:r>
        <w:rPr>
          <w:rFonts w:ascii="Arial" w:cs="Arial" w:eastAsia="Arial" w:hAnsi="Arial"/>
          <w:color w:val="1A1A2E"/>
          <w:sz w:val="22"/>
          <w:szCs w:val="22"/>
        </w:rPr>
        <w:t xml:space="preserve">Request Account Number or Registered Mobile Number</w:t>
      </w:r>
    </w:p>
    <w:p>
      <w:pPr>
        <w:pStyle w:val="ListParagraph"/>
        <w:numPr>
          <w:ilvl w:val="0"/>
          <w:numId w:val="3"/>
        </w:numPr>
        <w:spacing w:after="60" w:before="60"/>
      </w:pPr>
      <w:r>
        <w:rPr>
          <w:rFonts w:ascii="Arial" w:cs="Arial" w:eastAsia="Arial" w:hAnsi="Arial"/>
          <w:color w:val="1A1A2E"/>
          <w:sz w:val="22"/>
          <w:szCs w:val="22"/>
        </w:rPr>
        <w:t xml:space="preserve">Verify using CIF system – confirm last 4 digits of account, date of birth, or OTP</w:t>
      </w:r>
    </w:p>
    <w:p>
      <w:pPr>
        <w:pStyle w:val="ListParagraph"/>
        <w:numPr>
          <w:ilvl w:val="0"/>
          <w:numId w:val="3"/>
        </w:numPr>
        <w:spacing w:after="60" w:before="60"/>
      </w:pPr>
      <w:r>
        <w:rPr>
          <w:rFonts w:ascii="Arial" w:cs="Arial" w:eastAsia="Arial" w:hAnsi="Arial"/>
          <w:color w:val="1A1A2E"/>
          <w:sz w:val="22"/>
          <w:szCs w:val="22"/>
        </w:rPr>
        <w:t xml:space="preserve">If OTP used, confirm OTP validity within 3 minutes of dispatch</w:t>
      </w:r>
    </w:p>
    <w:p>
      <w:pPr>
        <w:pStyle w:val="ListParagraph"/>
        <w:numPr>
          <w:ilvl w:val="0"/>
          <w:numId w:val="3"/>
        </w:numPr>
        <w:spacing w:after="60" w:before="60"/>
      </w:pPr>
      <w:r>
        <w:rPr>
          <w:rFonts w:ascii="Arial" w:cs="Arial" w:eastAsia="Arial" w:hAnsi="Arial"/>
          <w:color w:val="1A1A2E"/>
          <w:sz w:val="22"/>
          <w:szCs w:val="22"/>
        </w:rPr>
        <w:t xml:space="preserve">For high-risk transactions, require both DOB + OTP + last transaction amount</w:t>
      </w:r>
    </w:p>
    <w:p>
      <w:pPr>
        <w:pStyle w:val="ListParagraph"/>
        <w:numPr>
          <w:ilvl w:val="0"/>
          <w:numId w:val="3"/>
        </w:numPr>
        <w:spacing w:after="60" w:before="60"/>
      </w:pPr>
      <w:r>
        <w:rPr>
          <w:rFonts w:ascii="Arial" w:cs="Arial" w:eastAsia="Arial" w:hAnsi="Arial"/>
          <w:color w:val="1A1A2E"/>
          <w:sz w:val="22"/>
          <w:szCs w:val="22"/>
        </w:rPr>
        <w:t xml:space="preserve">Log authentication status in CRM before proceeding</w:t>
      </w:r>
    </w:p>
    <w:p>
      <w:pPr>
        <w:pStyle w:val="ListParagraph"/>
        <w:numPr>
          <w:ilvl w:val="0"/>
          <w:numId w:val="3"/>
        </w:numPr>
        <w:spacing w:after="60" w:before="60"/>
      </w:pPr>
      <w:r>
        <w:rPr>
          <w:rFonts w:ascii="Arial" w:cs="Arial" w:eastAsia="Arial" w:hAnsi="Arial"/>
          <w:color w:val="1A1A2E"/>
          <w:sz w:val="22"/>
          <w:szCs w:val="22"/>
        </w:rPr>
        <w:t xml:space="preserve">If authentication fails 3 times, lock interaction and escalate to security team</w:t>
      </w:r>
    </w:p>
    <w:p>
      <w:pPr>
        <w:spacing w:after="120" w:before="0"/>
      </w:pPr>
      <w:r>
        <w:t xml:space="preserve"/>
      </w:r>
    </w:p>
    <w:p>
      <w:pPr>
        <w:pStyle w:val="Heading2"/>
        <w:spacing w:after="160" w:before="280"/>
      </w:pPr>
      <w:r>
        <w:rPr>
          <w:rFonts w:ascii="Arial" w:cs="Arial" w:eastAsia="Arial" w:hAnsi="Arial"/>
          <w:b/>
          <w:bCs/>
          <w:color w:val="1F5C9E"/>
          <w:sz w:val="26"/>
          <w:szCs w:val="26"/>
        </w:rPr>
        <w:t xml:space="preserve">3.2 Account Balance and Statement Request SOP</w:t>
      </w:r>
    </w:p>
    <w:p>
      <w:pPr>
        <w:pStyle w:val="ListParagraph"/>
        <w:numPr>
          <w:ilvl w:val="0"/>
          <w:numId w:val="3"/>
        </w:numPr>
        <w:spacing w:after="60" w:before="60"/>
      </w:pPr>
      <w:r>
        <w:rPr>
          <w:rFonts w:ascii="Arial" w:cs="Arial" w:eastAsia="Arial" w:hAnsi="Arial"/>
          <w:color w:val="1A1A2E"/>
          <w:sz w:val="22"/>
          <w:szCs w:val="22"/>
        </w:rPr>
        <w:t xml:space="preserve">Authenticate customer (see SOP 3.1)</w:t>
      </w:r>
    </w:p>
    <w:p>
      <w:pPr>
        <w:pStyle w:val="ListParagraph"/>
        <w:numPr>
          <w:ilvl w:val="0"/>
          <w:numId w:val="3"/>
        </w:numPr>
        <w:spacing w:after="60" w:before="60"/>
      </w:pPr>
      <w:r>
        <w:rPr>
          <w:rFonts w:ascii="Arial" w:cs="Arial" w:eastAsia="Arial" w:hAnsi="Arial"/>
          <w:color w:val="1A1A2E"/>
          <w:sz w:val="22"/>
          <w:szCs w:val="22"/>
        </w:rPr>
        <w:t xml:space="preserve">Access CIF in core banking system (CBS)</w:t>
      </w:r>
    </w:p>
    <w:p>
      <w:pPr>
        <w:pStyle w:val="ListParagraph"/>
        <w:numPr>
          <w:ilvl w:val="0"/>
          <w:numId w:val="3"/>
        </w:numPr>
        <w:spacing w:after="60" w:before="60"/>
      </w:pPr>
      <w:r>
        <w:rPr>
          <w:rFonts w:ascii="Arial" w:cs="Arial" w:eastAsia="Arial" w:hAnsi="Arial"/>
          <w:color w:val="1A1A2E"/>
          <w:sz w:val="22"/>
          <w:szCs w:val="22"/>
        </w:rPr>
        <w:t xml:space="preserve">Provide balance verbally or direct to NetBanking for detailed statement</w:t>
      </w:r>
    </w:p>
    <w:p>
      <w:pPr>
        <w:pStyle w:val="ListParagraph"/>
        <w:numPr>
          <w:ilvl w:val="0"/>
          <w:numId w:val="3"/>
        </w:numPr>
        <w:spacing w:after="60" w:before="60"/>
      </w:pPr>
      <w:r>
        <w:rPr>
          <w:rFonts w:ascii="Arial" w:cs="Arial" w:eastAsia="Arial" w:hAnsi="Arial"/>
          <w:color w:val="1A1A2E"/>
          <w:sz w:val="22"/>
          <w:szCs w:val="22"/>
        </w:rPr>
        <w:t xml:space="preserve">For physical statement requests, confirm mailing address before processing</w:t>
      </w:r>
    </w:p>
    <w:p>
      <w:pPr>
        <w:pStyle w:val="ListParagraph"/>
        <w:numPr>
          <w:ilvl w:val="0"/>
          <w:numId w:val="3"/>
        </w:numPr>
        <w:spacing w:after="60" w:before="60"/>
      </w:pPr>
      <w:r>
        <w:rPr>
          <w:rFonts w:ascii="Arial" w:cs="Arial" w:eastAsia="Arial" w:hAnsi="Arial"/>
          <w:color w:val="1A1A2E"/>
          <w:sz w:val="22"/>
          <w:szCs w:val="22"/>
        </w:rPr>
        <w:t xml:space="preserve">Physical statements dispatched within 5 working days by courier</w:t>
      </w:r>
    </w:p>
    <w:p>
      <w:pPr>
        <w:pStyle w:val="ListParagraph"/>
        <w:numPr>
          <w:ilvl w:val="0"/>
          <w:numId w:val="3"/>
        </w:numPr>
        <w:spacing w:after="60" w:before="60"/>
      </w:pPr>
      <w:r>
        <w:rPr>
          <w:rFonts w:ascii="Arial" w:cs="Arial" w:eastAsia="Arial" w:hAnsi="Arial"/>
          <w:color w:val="1A1A2E"/>
          <w:sz w:val="22"/>
          <w:szCs w:val="22"/>
        </w:rPr>
        <w:t xml:space="preserve">Digital statements sent to registered email within 30 minutes</w:t>
      </w:r>
    </w:p>
    <w:p>
      <w:pPr>
        <w:pStyle w:val="ListParagraph"/>
        <w:numPr>
          <w:ilvl w:val="0"/>
          <w:numId w:val="3"/>
        </w:numPr>
        <w:spacing w:after="60" w:before="60"/>
      </w:pPr>
      <w:r>
        <w:rPr>
          <w:rFonts w:ascii="Arial" w:cs="Arial" w:eastAsia="Arial" w:hAnsi="Arial"/>
          <w:color w:val="1A1A2E"/>
          <w:sz w:val="22"/>
          <w:szCs w:val="22"/>
        </w:rPr>
        <w:t xml:space="preserve">Log request type, timestamp, and mode of delivery in CRM</w:t>
      </w:r>
    </w:p>
    <w:p>
      <w:pPr>
        <w:spacing w:after="120" w:before="0"/>
      </w:pPr>
      <w:r>
        <w:t xml:space="preserve"/>
      </w:r>
    </w:p>
    <w:p>
      <w:pPr>
        <w:pStyle w:val="Heading2"/>
        <w:spacing w:after="160" w:before="280"/>
      </w:pPr>
      <w:r>
        <w:rPr>
          <w:rFonts w:ascii="Arial" w:cs="Arial" w:eastAsia="Arial" w:hAnsi="Arial"/>
          <w:b/>
          <w:bCs/>
          <w:color w:val="1F5C9E"/>
          <w:sz w:val="26"/>
          <w:szCs w:val="26"/>
        </w:rPr>
        <w:t xml:space="preserve">3.3 Cheque Book Request SOP</w:t>
      </w:r>
    </w:p>
    <w:p>
      <w:pPr>
        <w:pStyle w:val="ListParagraph"/>
        <w:numPr>
          <w:ilvl w:val="0"/>
          <w:numId w:val="3"/>
        </w:numPr>
        <w:spacing w:after="60" w:before="60"/>
      </w:pPr>
      <w:r>
        <w:rPr>
          <w:rFonts w:ascii="Arial" w:cs="Arial" w:eastAsia="Arial" w:hAnsi="Arial"/>
          <w:color w:val="1A1A2E"/>
          <w:sz w:val="22"/>
          <w:szCs w:val="22"/>
        </w:rPr>
        <w:t xml:space="preserve">Authenticate customer</w:t>
      </w:r>
    </w:p>
    <w:p>
      <w:pPr>
        <w:pStyle w:val="ListParagraph"/>
        <w:numPr>
          <w:ilvl w:val="0"/>
          <w:numId w:val="3"/>
        </w:numPr>
        <w:spacing w:after="60" w:before="60"/>
      </w:pPr>
      <w:r>
        <w:rPr>
          <w:rFonts w:ascii="Arial" w:cs="Arial" w:eastAsia="Arial" w:hAnsi="Arial"/>
          <w:color w:val="1A1A2E"/>
          <w:sz w:val="22"/>
          <w:szCs w:val="22"/>
        </w:rPr>
        <w:t xml:space="preserve">Verify account is active and in good standing (no freeze, negative balance, or stop-payment hold)</w:t>
      </w:r>
    </w:p>
    <w:p>
      <w:pPr>
        <w:pStyle w:val="ListParagraph"/>
        <w:numPr>
          <w:ilvl w:val="0"/>
          <w:numId w:val="3"/>
        </w:numPr>
        <w:spacing w:after="60" w:before="60"/>
      </w:pPr>
      <w:r>
        <w:rPr>
          <w:rFonts w:ascii="Arial" w:cs="Arial" w:eastAsia="Arial" w:hAnsi="Arial"/>
          <w:color w:val="1A1A2E"/>
          <w:sz w:val="22"/>
          <w:szCs w:val="22"/>
        </w:rPr>
        <w:t xml:space="preserve">Confirm delivery address – registered address or branch pickup</w:t>
      </w:r>
    </w:p>
    <w:p>
      <w:pPr>
        <w:pStyle w:val="ListParagraph"/>
        <w:numPr>
          <w:ilvl w:val="0"/>
          <w:numId w:val="3"/>
        </w:numPr>
        <w:spacing w:after="60" w:before="60"/>
      </w:pPr>
      <w:r>
        <w:rPr>
          <w:rFonts w:ascii="Arial" w:cs="Arial" w:eastAsia="Arial" w:hAnsi="Arial"/>
          <w:color w:val="1A1A2E"/>
          <w:sz w:val="22"/>
          <w:szCs w:val="22"/>
        </w:rPr>
        <w:t xml:space="preserve">Process request in CBS – generate cheque book request ticket</w:t>
      </w:r>
    </w:p>
    <w:p>
      <w:pPr>
        <w:pStyle w:val="ListParagraph"/>
        <w:numPr>
          <w:ilvl w:val="0"/>
          <w:numId w:val="3"/>
        </w:numPr>
        <w:spacing w:after="60" w:before="60"/>
      </w:pPr>
      <w:r>
        <w:rPr>
          <w:rFonts w:ascii="Arial" w:cs="Arial" w:eastAsia="Arial" w:hAnsi="Arial"/>
          <w:color w:val="1A1A2E"/>
          <w:sz w:val="22"/>
          <w:szCs w:val="22"/>
        </w:rPr>
        <w:t xml:space="preserve">Inform customer: delivery in 7–10 working days if postal, or 3 days for branch pickup</w:t>
      </w:r>
    </w:p>
    <w:p>
      <w:pPr>
        <w:pStyle w:val="ListParagraph"/>
        <w:numPr>
          <w:ilvl w:val="0"/>
          <w:numId w:val="3"/>
        </w:numPr>
        <w:spacing w:after="60" w:before="60"/>
      </w:pPr>
      <w:r>
        <w:rPr>
          <w:rFonts w:ascii="Arial" w:cs="Arial" w:eastAsia="Arial" w:hAnsi="Arial"/>
          <w:color w:val="1A1A2E"/>
          <w:sz w:val="22"/>
          <w:szCs w:val="22"/>
        </w:rPr>
        <w:t xml:space="preserve">Provide reference number to customer</w:t>
      </w:r>
    </w:p>
    <w:p>
      <w:pPr>
        <w:pStyle w:val="ListParagraph"/>
        <w:numPr>
          <w:ilvl w:val="0"/>
          <w:numId w:val="3"/>
        </w:numPr>
        <w:spacing w:after="60" w:before="60"/>
      </w:pPr>
      <w:r>
        <w:rPr>
          <w:rFonts w:ascii="Arial" w:cs="Arial" w:eastAsia="Arial" w:hAnsi="Arial"/>
          <w:color w:val="1A1A2E"/>
          <w:sz w:val="22"/>
          <w:szCs w:val="22"/>
        </w:rPr>
        <w:t xml:space="preserve">Update CRM with request details and expected delivery date</w:t>
      </w:r>
    </w:p>
    <w:p>
      <w:pPr>
        <w:spacing w:after="120" w:before="0"/>
      </w:pPr>
      <w:r>
        <w:t xml:space="preserve"/>
      </w:r>
    </w:p>
    <w:p>
      <w:pPr>
        <w:pStyle w:val="Heading2"/>
        <w:spacing w:after="160" w:before="280"/>
      </w:pPr>
      <w:r>
        <w:rPr>
          <w:rFonts w:ascii="Arial" w:cs="Arial" w:eastAsia="Arial" w:hAnsi="Arial"/>
          <w:b/>
          <w:bCs/>
          <w:color w:val="1F5C9E"/>
          <w:sz w:val="26"/>
          <w:szCs w:val="26"/>
        </w:rPr>
        <w:t xml:space="preserve">3.4 Transaction Dispute SOP</w:t>
      </w:r>
    </w:p>
    <w:p>
      <w:pPr>
        <w:pStyle w:val="ListParagraph"/>
        <w:numPr>
          <w:ilvl w:val="0"/>
          <w:numId w:val="3"/>
        </w:numPr>
        <w:spacing w:after="60" w:before="60"/>
      </w:pPr>
      <w:r>
        <w:rPr>
          <w:rFonts w:ascii="Arial" w:cs="Arial" w:eastAsia="Arial" w:hAnsi="Arial"/>
          <w:color w:val="1A1A2E"/>
          <w:sz w:val="22"/>
          <w:szCs w:val="22"/>
        </w:rPr>
        <w:t xml:space="preserve">Authenticate customer and note dispute details</w:t>
      </w:r>
    </w:p>
    <w:p>
      <w:pPr>
        <w:pStyle w:val="ListParagraph"/>
        <w:numPr>
          <w:ilvl w:val="0"/>
          <w:numId w:val="3"/>
        </w:numPr>
        <w:spacing w:after="60" w:before="60"/>
      </w:pPr>
      <w:r>
        <w:rPr>
          <w:rFonts w:ascii="Arial" w:cs="Arial" w:eastAsia="Arial" w:hAnsi="Arial"/>
          <w:color w:val="1A1A2E"/>
          <w:sz w:val="22"/>
          <w:szCs w:val="22"/>
        </w:rPr>
        <w:t xml:space="preserve">Check transaction in CBS – verify merchant, amount, date, and authorization code</w:t>
      </w:r>
    </w:p>
    <w:p>
      <w:pPr>
        <w:pStyle w:val="ListParagraph"/>
        <w:numPr>
          <w:ilvl w:val="0"/>
          <w:numId w:val="3"/>
        </w:numPr>
        <w:spacing w:after="60" w:before="60"/>
      </w:pPr>
      <w:r>
        <w:rPr>
          <w:rFonts w:ascii="Arial" w:cs="Arial" w:eastAsia="Arial" w:hAnsi="Arial"/>
          <w:color w:val="1A1A2E"/>
          <w:sz w:val="22"/>
          <w:szCs w:val="22"/>
        </w:rPr>
        <w:t xml:space="preserve">If transaction is under ₹10,000 and clearly erroneous, initiate provisional credit within 24 hours</w:t>
      </w:r>
    </w:p>
    <w:p>
      <w:pPr>
        <w:pStyle w:val="ListParagraph"/>
        <w:numPr>
          <w:ilvl w:val="0"/>
          <w:numId w:val="3"/>
        </w:numPr>
        <w:spacing w:after="60" w:before="60"/>
      </w:pPr>
      <w:r>
        <w:rPr>
          <w:rFonts w:ascii="Arial" w:cs="Arial" w:eastAsia="Arial" w:hAnsi="Arial"/>
          <w:color w:val="1A1A2E"/>
          <w:sz w:val="22"/>
          <w:szCs w:val="22"/>
        </w:rPr>
        <w:t xml:space="preserve">Raise chargeback request in the Dispute Management System (DMS)</w:t>
      </w:r>
    </w:p>
    <w:p>
      <w:pPr>
        <w:pStyle w:val="ListParagraph"/>
        <w:numPr>
          <w:ilvl w:val="0"/>
          <w:numId w:val="3"/>
        </w:numPr>
        <w:spacing w:after="60" w:before="60"/>
      </w:pPr>
      <w:r>
        <w:rPr>
          <w:rFonts w:ascii="Arial" w:cs="Arial" w:eastAsia="Arial" w:hAnsi="Arial"/>
          <w:color w:val="1A1A2E"/>
          <w:sz w:val="22"/>
          <w:szCs w:val="22"/>
        </w:rPr>
        <w:t xml:space="preserve">Provide customer with Dispute Reference Number (DRN)</w:t>
      </w:r>
    </w:p>
    <w:p>
      <w:pPr>
        <w:pStyle w:val="ListParagraph"/>
        <w:numPr>
          <w:ilvl w:val="0"/>
          <w:numId w:val="3"/>
        </w:numPr>
        <w:spacing w:after="60" w:before="60"/>
      </w:pPr>
      <w:r>
        <w:rPr>
          <w:rFonts w:ascii="Arial" w:cs="Arial" w:eastAsia="Arial" w:hAnsi="Arial"/>
          <w:color w:val="1A1A2E"/>
          <w:sz w:val="22"/>
          <w:szCs w:val="22"/>
        </w:rPr>
        <w:t xml:space="preserve">Timeline: Resolution within 7 business days for domestic, 45 days for international</w:t>
      </w:r>
    </w:p>
    <w:p>
      <w:pPr>
        <w:pStyle w:val="ListParagraph"/>
        <w:numPr>
          <w:ilvl w:val="0"/>
          <w:numId w:val="3"/>
        </w:numPr>
        <w:spacing w:after="60" w:before="60"/>
      </w:pPr>
      <w:r>
        <w:rPr>
          <w:rFonts w:ascii="Arial" w:cs="Arial" w:eastAsia="Arial" w:hAnsi="Arial"/>
          <w:color w:val="1A1A2E"/>
          <w:sz w:val="22"/>
          <w:szCs w:val="22"/>
        </w:rPr>
        <w:t xml:space="preserve">Send status update SMS and email at each resolution milestone</w:t>
      </w:r>
    </w:p>
    <w:p>
      <w:pPr>
        <w:pStyle w:val="ListParagraph"/>
        <w:numPr>
          <w:ilvl w:val="0"/>
          <w:numId w:val="3"/>
        </w:numPr>
        <w:spacing w:after="60" w:before="60"/>
      </w:pPr>
      <w:r>
        <w:rPr>
          <w:rFonts w:ascii="Arial" w:cs="Arial" w:eastAsia="Arial" w:hAnsi="Arial"/>
          <w:color w:val="1A1A2E"/>
          <w:sz w:val="22"/>
          <w:szCs w:val="22"/>
        </w:rPr>
        <w:t xml:space="preserve">If fraud suspected, follow Fraud Response SOP (Section 3.7)</w:t>
      </w:r>
    </w:p>
    <w:p>
      <w:pPr>
        <w:spacing w:after="120" w:before="0"/>
      </w:pPr>
      <w:r>
        <w:t xml:space="preserve"/>
      </w:r>
    </w:p>
    <w:p>
      <w:pPr>
        <w:pStyle w:val="Heading2"/>
        <w:spacing w:after="160" w:before="280"/>
      </w:pPr>
      <w:r>
        <w:rPr>
          <w:rFonts w:ascii="Arial" w:cs="Arial" w:eastAsia="Arial" w:hAnsi="Arial"/>
          <w:b/>
          <w:bCs/>
          <w:color w:val="1F5C9E"/>
          <w:sz w:val="26"/>
          <w:szCs w:val="26"/>
        </w:rPr>
        <w:t xml:space="preserve">3.5 Account Closure SOP</w:t>
      </w:r>
    </w:p>
    <w:p>
      <w:pPr>
        <w:pStyle w:val="ListParagraph"/>
        <w:numPr>
          <w:ilvl w:val="0"/>
          <w:numId w:val="3"/>
        </w:numPr>
        <w:spacing w:after="60" w:before="60"/>
      </w:pPr>
      <w:r>
        <w:rPr>
          <w:rFonts w:ascii="Arial" w:cs="Arial" w:eastAsia="Arial" w:hAnsi="Arial"/>
          <w:color w:val="1A1A2E"/>
          <w:sz w:val="22"/>
          <w:szCs w:val="22"/>
        </w:rPr>
        <w:t xml:space="preserve">Authenticate customer and obtain reason for closure</w:t>
      </w:r>
    </w:p>
    <w:p>
      <w:pPr>
        <w:pStyle w:val="ListParagraph"/>
        <w:numPr>
          <w:ilvl w:val="0"/>
          <w:numId w:val="3"/>
        </w:numPr>
        <w:spacing w:after="60" w:before="60"/>
      </w:pPr>
      <w:r>
        <w:rPr>
          <w:rFonts w:ascii="Arial" w:cs="Arial" w:eastAsia="Arial" w:hAnsi="Arial"/>
          <w:color w:val="1A1A2E"/>
          <w:sz w:val="22"/>
          <w:szCs w:val="22"/>
        </w:rPr>
        <w:t xml:space="preserve">Check account for pending transactions, standing instructions, loans linked, or active EMIs</w:t>
      </w:r>
    </w:p>
    <w:p>
      <w:pPr>
        <w:pStyle w:val="ListParagraph"/>
        <w:numPr>
          <w:ilvl w:val="0"/>
          <w:numId w:val="3"/>
        </w:numPr>
        <w:spacing w:after="60" w:before="60"/>
      </w:pPr>
      <w:r>
        <w:rPr>
          <w:rFonts w:ascii="Arial" w:cs="Arial" w:eastAsia="Arial" w:hAnsi="Arial"/>
          <w:color w:val="1A1A2E"/>
          <w:sz w:val="22"/>
          <w:szCs w:val="22"/>
        </w:rPr>
        <w:t xml:space="preserve">Inform customer of all implications – linked services, credit score impact</w:t>
      </w:r>
    </w:p>
    <w:p>
      <w:pPr>
        <w:pStyle w:val="ListParagraph"/>
        <w:numPr>
          <w:ilvl w:val="0"/>
          <w:numId w:val="3"/>
        </w:numPr>
        <w:spacing w:after="60" w:before="60"/>
      </w:pPr>
      <w:r>
        <w:rPr>
          <w:rFonts w:ascii="Arial" w:cs="Arial" w:eastAsia="Arial" w:hAnsi="Arial"/>
          <w:color w:val="1A1A2E"/>
          <w:sz w:val="22"/>
          <w:szCs w:val="22"/>
        </w:rPr>
        <w:t xml:space="preserve">Obtain written closure request (branch visit mandatory for amounts above ₹50,000)</w:t>
      </w:r>
    </w:p>
    <w:p>
      <w:pPr>
        <w:pStyle w:val="ListParagraph"/>
        <w:numPr>
          <w:ilvl w:val="0"/>
          <w:numId w:val="3"/>
        </w:numPr>
        <w:spacing w:after="60" w:before="60"/>
      </w:pPr>
      <w:r>
        <w:rPr>
          <w:rFonts w:ascii="Arial" w:cs="Arial" w:eastAsia="Arial" w:hAnsi="Arial"/>
          <w:color w:val="1A1A2E"/>
          <w:sz w:val="22"/>
          <w:szCs w:val="22"/>
        </w:rPr>
        <w:t xml:space="preserve">Transfer remaining balance to alternate bank account as provided</w:t>
      </w:r>
    </w:p>
    <w:p>
      <w:pPr>
        <w:pStyle w:val="ListParagraph"/>
        <w:numPr>
          <w:ilvl w:val="0"/>
          <w:numId w:val="3"/>
        </w:numPr>
        <w:spacing w:after="60" w:before="60"/>
      </w:pPr>
      <w:r>
        <w:rPr>
          <w:rFonts w:ascii="Arial" w:cs="Arial" w:eastAsia="Arial" w:hAnsi="Arial"/>
          <w:color w:val="1A1A2E"/>
          <w:sz w:val="22"/>
          <w:szCs w:val="22"/>
        </w:rPr>
        <w:t xml:space="preserve">Cancel all linked services: debit card, cheque book, NetBanking access</w:t>
      </w:r>
    </w:p>
    <w:p>
      <w:pPr>
        <w:pStyle w:val="ListParagraph"/>
        <w:numPr>
          <w:ilvl w:val="0"/>
          <w:numId w:val="3"/>
        </w:numPr>
        <w:spacing w:after="60" w:before="60"/>
      </w:pPr>
      <w:r>
        <w:rPr>
          <w:rFonts w:ascii="Arial" w:cs="Arial" w:eastAsia="Arial" w:hAnsi="Arial"/>
          <w:color w:val="1A1A2E"/>
          <w:sz w:val="22"/>
          <w:szCs w:val="22"/>
        </w:rPr>
        <w:t xml:space="preserve">Closure completed within 7 working days of form receipt</w:t>
      </w:r>
    </w:p>
    <w:p>
      <w:pPr>
        <w:pStyle w:val="ListParagraph"/>
        <w:numPr>
          <w:ilvl w:val="0"/>
          <w:numId w:val="3"/>
        </w:numPr>
        <w:spacing w:after="60" w:before="60"/>
      </w:pPr>
      <w:r>
        <w:rPr>
          <w:rFonts w:ascii="Arial" w:cs="Arial" w:eastAsia="Arial" w:hAnsi="Arial"/>
          <w:color w:val="1A1A2E"/>
          <w:sz w:val="22"/>
          <w:szCs w:val="22"/>
        </w:rPr>
        <w:t xml:space="preserve">Dispatch closure confirmation letter within 10 working days</w:t>
      </w:r>
    </w:p>
    <w:p>
      <w:pPr>
        <w:spacing w:after="120" w:before="0"/>
      </w:pPr>
      <w:r>
        <w:t xml:space="preserve"/>
      </w:r>
    </w:p>
    <w:p>
      <w:pPr>
        <w:pStyle w:val="Heading2"/>
        <w:spacing w:after="160" w:before="280"/>
      </w:pPr>
      <w:r>
        <w:rPr>
          <w:rFonts w:ascii="Arial" w:cs="Arial" w:eastAsia="Arial" w:hAnsi="Arial"/>
          <w:b/>
          <w:bCs/>
          <w:color w:val="1F5C9E"/>
          <w:sz w:val="26"/>
          <w:szCs w:val="26"/>
        </w:rPr>
        <w:t xml:space="preserve">3.6 Nomination Update SOP</w:t>
      </w:r>
    </w:p>
    <w:p>
      <w:pPr>
        <w:pStyle w:val="ListParagraph"/>
        <w:numPr>
          <w:ilvl w:val="0"/>
          <w:numId w:val="3"/>
        </w:numPr>
        <w:spacing w:after="60" w:before="60"/>
      </w:pPr>
      <w:r>
        <w:rPr>
          <w:rFonts w:ascii="Arial" w:cs="Arial" w:eastAsia="Arial" w:hAnsi="Arial"/>
          <w:color w:val="1A1A2E"/>
          <w:sz w:val="22"/>
          <w:szCs w:val="22"/>
        </w:rPr>
        <w:t xml:space="preserve">Authenticate account holder (primary)</w:t>
      </w:r>
    </w:p>
    <w:p>
      <w:pPr>
        <w:pStyle w:val="ListParagraph"/>
        <w:numPr>
          <w:ilvl w:val="0"/>
          <w:numId w:val="3"/>
        </w:numPr>
        <w:spacing w:after="60" w:before="60"/>
      </w:pPr>
      <w:r>
        <w:rPr>
          <w:rFonts w:ascii="Arial" w:cs="Arial" w:eastAsia="Arial" w:hAnsi="Arial"/>
          <w:color w:val="1A1A2E"/>
          <w:sz w:val="22"/>
          <w:szCs w:val="22"/>
        </w:rPr>
        <w:t xml:space="preserve">Obtain completed Form DA1 (Nomination Registration)</w:t>
      </w:r>
    </w:p>
    <w:p>
      <w:pPr>
        <w:pStyle w:val="ListParagraph"/>
        <w:numPr>
          <w:ilvl w:val="0"/>
          <w:numId w:val="3"/>
        </w:numPr>
        <w:spacing w:after="60" w:before="60"/>
      </w:pPr>
      <w:r>
        <w:rPr>
          <w:rFonts w:ascii="Arial" w:cs="Arial" w:eastAsia="Arial" w:hAnsi="Arial"/>
          <w:color w:val="1A1A2E"/>
          <w:sz w:val="22"/>
          <w:szCs w:val="22"/>
        </w:rPr>
        <w:t xml:space="preserve">Verify nominee's relationship and identity documents</w:t>
      </w:r>
    </w:p>
    <w:p>
      <w:pPr>
        <w:pStyle w:val="ListParagraph"/>
        <w:numPr>
          <w:ilvl w:val="0"/>
          <w:numId w:val="3"/>
        </w:numPr>
        <w:spacing w:after="60" w:before="60"/>
      </w:pPr>
      <w:r>
        <w:rPr>
          <w:rFonts w:ascii="Arial" w:cs="Arial" w:eastAsia="Arial" w:hAnsi="Arial"/>
          <w:color w:val="1A1A2E"/>
          <w:sz w:val="22"/>
          <w:szCs w:val="22"/>
        </w:rPr>
        <w:t xml:space="preserve">Update nomination in CBS within same business day</w:t>
      </w:r>
    </w:p>
    <w:p>
      <w:pPr>
        <w:pStyle w:val="ListParagraph"/>
        <w:numPr>
          <w:ilvl w:val="0"/>
          <w:numId w:val="3"/>
        </w:numPr>
        <w:spacing w:after="60" w:before="60"/>
      </w:pPr>
      <w:r>
        <w:rPr>
          <w:rFonts w:ascii="Arial" w:cs="Arial" w:eastAsia="Arial" w:hAnsi="Arial"/>
          <w:color w:val="1A1A2E"/>
          <w:sz w:val="22"/>
          <w:szCs w:val="22"/>
        </w:rPr>
        <w:t xml:space="preserve">Dispatch acknowledgment letter within 5 working days</w:t>
      </w:r>
    </w:p>
    <w:p>
      <w:pPr>
        <w:pStyle w:val="ListParagraph"/>
        <w:numPr>
          <w:ilvl w:val="0"/>
          <w:numId w:val="3"/>
        </w:numPr>
        <w:spacing w:after="60" w:before="60"/>
      </w:pPr>
      <w:r>
        <w:rPr>
          <w:rFonts w:ascii="Arial" w:cs="Arial" w:eastAsia="Arial" w:hAnsi="Arial"/>
          <w:color w:val="1A1A2E"/>
          <w:sz w:val="22"/>
          <w:szCs w:val="22"/>
        </w:rPr>
        <w:t xml:space="preserve">For joint accounts, obtain consent from all account holders</w:t>
      </w:r>
    </w:p>
    <w:p>
      <w:pPr>
        <w:spacing w:after="120" w:before="0"/>
      </w:pPr>
      <w:r>
        <w:t xml:space="preserve"/>
      </w:r>
    </w:p>
    <w:p>
      <w:pPr>
        <w:pStyle w:val="Heading2"/>
        <w:spacing w:after="160" w:before="280"/>
      </w:pPr>
      <w:r>
        <w:rPr>
          <w:rFonts w:ascii="Arial" w:cs="Arial" w:eastAsia="Arial" w:hAnsi="Arial"/>
          <w:b/>
          <w:bCs/>
          <w:color w:val="1F5C9E"/>
          <w:sz w:val="26"/>
          <w:szCs w:val="26"/>
        </w:rPr>
        <w:t xml:space="preserve">3.7 Fraud and Unauthorized Transaction SOP</w:t>
      </w:r>
    </w:p>
    <w:p>
      <w:pPr>
        <w:pStyle w:val="ListParagraph"/>
        <w:numPr>
          <w:ilvl w:val="0"/>
          <w:numId w:val="3"/>
        </w:numPr>
        <w:spacing w:after="60" w:before="60"/>
      </w:pPr>
      <w:r>
        <w:rPr>
          <w:rFonts w:ascii="Arial" w:cs="Arial" w:eastAsia="Arial" w:hAnsi="Arial"/>
          <w:color w:val="1A1A2E"/>
          <w:sz w:val="22"/>
          <w:szCs w:val="22"/>
        </w:rPr>
        <w:t xml:space="preserve">Immediately acknowledge report and assure customer action will be taken</w:t>
      </w:r>
    </w:p>
    <w:p>
      <w:pPr>
        <w:pStyle w:val="ListParagraph"/>
        <w:numPr>
          <w:ilvl w:val="0"/>
          <w:numId w:val="3"/>
        </w:numPr>
        <w:spacing w:after="60" w:before="60"/>
      </w:pPr>
      <w:r>
        <w:rPr>
          <w:rFonts w:ascii="Arial" w:cs="Arial" w:eastAsia="Arial" w:hAnsi="Arial"/>
          <w:color w:val="1A1A2E"/>
          <w:sz w:val="22"/>
          <w:szCs w:val="22"/>
        </w:rPr>
        <w:t xml:space="preserve">Authenticate customer identity via enhanced security protocol</w:t>
      </w:r>
    </w:p>
    <w:p>
      <w:pPr>
        <w:pStyle w:val="ListParagraph"/>
        <w:numPr>
          <w:ilvl w:val="0"/>
          <w:numId w:val="3"/>
        </w:numPr>
        <w:spacing w:after="60" w:before="60"/>
      </w:pPr>
      <w:r>
        <w:rPr>
          <w:rFonts w:ascii="Arial" w:cs="Arial" w:eastAsia="Arial" w:hAnsi="Arial"/>
          <w:color w:val="1A1A2E"/>
          <w:sz w:val="22"/>
          <w:szCs w:val="22"/>
        </w:rPr>
        <w:t xml:space="preserve">Block debit card or account access immediately using emergency block command in CBS</w:t>
      </w:r>
    </w:p>
    <w:p>
      <w:pPr>
        <w:pStyle w:val="ListParagraph"/>
        <w:numPr>
          <w:ilvl w:val="0"/>
          <w:numId w:val="3"/>
        </w:numPr>
        <w:spacing w:after="60" w:before="60"/>
      </w:pPr>
      <w:r>
        <w:rPr>
          <w:rFonts w:ascii="Arial" w:cs="Arial" w:eastAsia="Arial" w:hAnsi="Arial"/>
          <w:color w:val="1A1A2E"/>
          <w:sz w:val="22"/>
          <w:szCs w:val="22"/>
        </w:rPr>
        <w:t xml:space="preserve">Provide customer with Fraud Reference Number (FRN)</w:t>
      </w:r>
    </w:p>
    <w:p>
      <w:pPr>
        <w:pStyle w:val="ListParagraph"/>
        <w:numPr>
          <w:ilvl w:val="0"/>
          <w:numId w:val="3"/>
        </w:numPr>
        <w:spacing w:after="60" w:before="60"/>
      </w:pPr>
      <w:r>
        <w:rPr>
          <w:rFonts w:ascii="Arial" w:cs="Arial" w:eastAsia="Arial" w:hAnsi="Arial"/>
          <w:color w:val="1A1A2E"/>
          <w:sz w:val="22"/>
          <w:szCs w:val="22"/>
        </w:rPr>
        <w:t xml:space="preserve">File police complaint advisory – direct customer to nearest police station</w:t>
      </w:r>
    </w:p>
    <w:p>
      <w:pPr>
        <w:pStyle w:val="ListParagraph"/>
        <w:numPr>
          <w:ilvl w:val="0"/>
          <w:numId w:val="3"/>
        </w:numPr>
        <w:spacing w:after="60" w:before="60"/>
      </w:pPr>
      <w:r>
        <w:rPr>
          <w:rFonts w:ascii="Arial" w:cs="Arial" w:eastAsia="Arial" w:hAnsi="Arial"/>
          <w:color w:val="1A1A2E"/>
          <w:sz w:val="22"/>
          <w:szCs w:val="22"/>
        </w:rPr>
        <w:t xml:space="preserve">Escalate to Fraud Investigation Team within 30 minutes</w:t>
      </w:r>
    </w:p>
    <w:p>
      <w:pPr>
        <w:pStyle w:val="ListParagraph"/>
        <w:numPr>
          <w:ilvl w:val="0"/>
          <w:numId w:val="3"/>
        </w:numPr>
        <w:spacing w:after="60" w:before="60"/>
      </w:pPr>
      <w:r>
        <w:rPr>
          <w:rFonts w:ascii="Arial" w:cs="Arial" w:eastAsia="Arial" w:hAnsi="Arial"/>
          <w:color w:val="1A1A2E"/>
          <w:sz w:val="22"/>
          <w:szCs w:val="22"/>
        </w:rPr>
        <w:t xml:space="preserve">Do NOT provide transaction details to customer until FIT clearance</w:t>
      </w:r>
    </w:p>
    <w:p>
      <w:pPr>
        <w:pStyle w:val="ListParagraph"/>
        <w:numPr>
          <w:ilvl w:val="0"/>
          <w:numId w:val="3"/>
        </w:numPr>
        <w:spacing w:after="60" w:before="60"/>
      </w:pPr>
      <w:r>
        <w:rPr>
          <w:rFonts w:ascii="Arial" w:cs="Arial" w:eastAsia="Arial" w:hAnsi="Arial"/>
          <w:color w:val="1A1A2E"/>
          <w:sz w:val="22"/>
          <w:szCs w:val="22"/>
        </w:rPr>
        <w:t xml:space="preserve">Issue new debit card within 5 working days or priority delivery within 48 hours</w:t>
      </w:r>
    </w:p>
    <w:p>
      <w:pPr>
        <w:pStyle w:val="ListParagraph"/>
        <w:numPr>
          <w:ilvl w:val="0"/>
          <w:numId w:val="3"/>
        </w:numPr>
        <w:spacing w:after="60" w:before="60"/>
      </w:pPr>
      <w:r>
        <w:rPr>
          <w:rFonts w:ascii="Arial" w:cs="Arial" w:eastAsia="Arial" w:hAnsi="Arial"/>
          <w:color w:val="1A1A2E"/>
          <w:sz w:val="22"/>
          <w:szCs w:val="22"/>
        </w:rPr>
        <w:t xml:space="preserve">Maintain zero-tolerance for caller pressure – verify all information before unblocking</w:t>
      </w:r>
    </w:p>
    <w:p>
      <w:pPr>
        <w:spacing w:after="120" w:before="0"/>
      </w:pPr>
      <w:r>
        <w:t xml:space="preserve"/>
      </w:r>
    </w:p>
    <w:p>
      <w:pPr>
        <w:pStyle w:val="Heading2"/>
        <w:spacing w:after="160" w:before="280"/>
      </w:pPr>
      <w:r>
        <w:rPr>
          <w:rFonts w:ascii="Arial" w:cs="Arial" w:eastAsia="Arial" w:hAnsi="Arial"/>
          <w:b/>
          <w:bCs/>
          <w:color w:val="1F5C9E"/>
          <w:sz w:val="26"/>
          <w:szCs w:val="26"/>
        </w:rPr>
        <w:t xml:space="preserve">3.8 KYC Update SOP</w:t>
      </w:r>
    </w:p>
    <w:p>
      <w:pPr>
        <w:pStyle w:val="ListParagraph"/>
        <w:numPr>
          <w:ilvl w:val="0"/>
          <w:numId w:val="3"/>
        </w:numPr>
        <w:spacing w:after="60" w:before="60"/>
      </w:pPr>
      <w:r>
        <w:rPr>
          <w:rFonts w:ascii="Arial" w:cs="Arial" w:eastAsia="Arial" w:hAnsi="Arial"/>
          <w:color w:val="1A1A2E"/>
          <w:sz w:val="22"/>
          <w:szCs w:val="22"/>
        </w:rPr>
        <w:t xml:space="preserve">Authenticate customer</w:t>
      </w:r>
    </w:p>
    <w:p>
      <w:pPr>
        <w:pStyle w:val="ListParagraph"/>
        <w:numPr>
          <w:ilvl w:val="0"/>
          <w:numId w:val="3"/>
        </w:numPr>
        <w:spacing w:after="60" w:before="60"/>
      </w:pPr>
      <w:r>
        <w:rPr>
          <w:rFonts w:ascii="Arial" w:cs="Arial" w:eastAsia="Arial" w:hAnsi="Arial"/>
          <w:color w:val="1A1A2E"/>
          <w:sz w:val="22"/>
          <w:szCs w:val="22"/>
        </w:rPr>
        <w:t xml:space="preserve">Identify KYC category: Periodic (due for update) or Immediate (account freeze)</w:t>
      </w:r>
    </w:p>
    <w:p>
      <w:pPr>
        <w:pStyle w:val="ListParagraph"/>
        <w:numPr>
          <w:ilvl w:val="0"/>
          <w:numId w:val="3"/>
        </w:numPr>
        <w:spacing w:after="60" w:before="60"/>
      </w:pPr>
      <w:r>
        <w:rPr>
          <w:rFonts w:ascii="Arial" w:cs="Arial" w:eastAsia="Arial" w:hAnsi="Arial"/>
          <w:color w:val="1A1A2E"/>
          <w:sz w:val="22"/>
          <w:szCs w:val="22"/>
        </w:rPr>
        <w:t xml:space="preserve">Guide customer on accepted documents: Aadhaar, PAN, Passport, Voter ID, Driving License</w:t>
      </w:r>
    </w:p>
    <w:p>
      <w:pPr>
        <w:pStyle w:val="ListParagraph"/>
        <w:numPr>
          <w:ilvl w:val="0"/>
          <w:numId w:val="3"/>
        </w:numPr>
        <w:spacing w:after="60" w:before="60"/>
      </w:pPr>
      <w:r>
        <w:rPr>
          <w:rFonts w:ascii="Arial" w:cs="Arial" w:eastAsia="Arial" w:hAnsi="Arial"/>
          <w:color w:val="1A1A2E"/>
          <w:sz w:val="22"/>
          <w:szCs w:val="22"/>
        </w:rPr>
        <w:t xml:space="preserve">For in-person update: direct to nearest branch with originals + photocopies</w:t>
      </w:r>
    </w:p>
    <w:p>
      <w:pPr>
        <w:pStyle w:val="ListParagraph"/>
        <w:numPr>
          <w:ilvl w:val="0"/>
          <w:numId w:val="3"/>
        </w:numPr>
        <w:spacing w:after="60" w:before="60"/>
      </w:pPr>
      <w:r>
        <w:rPr>
          <w:rFonts w:ascii="Arial" w:cs="Arial" w:eastAsia="Arial" w:hAnsi="Arial"/>
          <w:color w:val="1A1A2E"/>
          <w:sz w:val="22"/>
          <w:szCs w:val="22"/>
        </w:rPr>
        <w:t xml:space="preserve">For online KYC: guide through Video KYC process in the FuturePay App</w:t>
      </w:r>
    </w:p>
    <w:p>
      <w:pPr>
        <w:pStyle w:val="ListParagraph"/>
        <w:numPr>
          <w:ilvl w:val="0"/>
          <w:numId w:val="3"/>
        </w:numPr>
        <w:spacing w:after="60" w:before="60"/>
      </w:pPr>
      <w:r>
        <w:rPr>
          <w:rFonts w:ascii="Arial" w:cs="Arial" w:eastAsia="Arial" w:hAnsi="Arial"/>
          <w:color w:val="1A1A2E"/>
          <w:sz w:val="22"/>
          <w:szCs w:val="22"/>
        </w:rPr>
        <w:t xml:space="preserve">Confirm KYC update within 3–5 working days</w:t>
      </w:r>
    </w:p>
    <w:p>
      <w:pPr>
        <w:pStyle w:val="ListParagraph"/>
        <w:numPr>
          <w:ilvl w:val="0"/>
          <w:numId w:val="3"/>
        </w:numPr>
        <w:spacing w:after="60" w:before="60"/>
      </w:pPr>
      <w:r>
        <w:rPr>
          <w:rFonts w:ascii="Arial" w:cs="Arial" w:eastAsia="Arial" w:hAnsi="Arial"/>
          <w:color w:val="1A1A2E"/>
          <w:sz w:val="22"/>
          <w:szCs w:val="22"/>
        </w:rPr>
        <w:t xml:space="preserve">If account frozen due to KYC non-compliance, unfreeze within 1 working day of successful submission</w:t>
      </w:r>
    </w:p>
    <w:p>
      <w:r>
        <w:br w:type="page"/>
      </w:r>
    </w:p>
    <w:p>
      <w:pPr>
        <w:pStyle w:val="Heading1"/>
        <w:spacing w:after="200" w:before="360"/>
      </w:pPr>
      <w:r>
        <w:rPr>
          <w:rFonts w:ascii="Arial" w:cs="Arial" w:eastAsia="Arial" w:hAnsi="Arial"/>
          <w:b/>
          <w:bCs/>
          <w:color w:val="003366"/>
          <w:sz w:val="32"/>
          <w:szCs w:val="32"/>
        </w:rPr>
        <w:t xml:space="preserve">4. Policies</w:t>
      </w:r>
    </w:p>
    <w:p>
      <w:pPr>
        <w:pStyle w:val="Heading2"/>
        <w:spacing w:after="160" w:before="280"/>
      </w:pPr>
      <w:r>
        <w:rPr>
          <w:rFonts w:ascii="Arial" w:cs="Arial" w:eastAsia="Arial" w:hAnsi="Arial"/>
          <w:b/>
          <w:bCs/>
          <w:color w:val="1F5C9E"/>
          <w:sz w:val="26"/>
          <w:szCs w:val="26"/>
        </w:rPr>
        <w:t xml:space="preserve">4.1 Customer Data Privacy Policy</w:t>
      </w:r>
    </w:p>
    <w:p>
      <w:pPr>
        <w:spacing w:after="80" w:before="80"/>
      </w:pPr>
      <w:r>
        <w:rPr>
          <w:rFonts w:ascii="Arial" w:cs="Arial" w:eastAsia="Arial" w:hAnsi="Arial"/>
          <w:color w:val="1A1A2E"/>
          <w:sz w:val="22"/>
          <w:szCs w:val="22"/>
        </w:rPr>
        <w:t xml:space="preserve">FutureTrust Bank strictly adheres to the Information Technology Act, 2000, the RBI Cybersecurity Framework, and the forthcoming Personal Data Protection Bill. Key provisions:</w:t>
      </w:r>
    </w:p>
    <w:p>
      <w:pPr>
        <w:pStyle w:val="ListParagraph"/>
        <w:numPr>
          <w:ilvl w:val="0"/>
          <w:numId w:val="2"/>
        </w:numPr>
        <w:spacing w:after="60" w:before="60"/>
      </w:pPr>
      <w:r>
        <w:rPr>
          <w:rFonts w:ascii="Arial" w:cs="Arial" w:eastAsia="Arial" w:hAnsi="Arial"/>
          <w:color w:val="1A1A2E"/>
          <w:sz w:val="22"/>
          <w:szCs w:val="22"/>
        </w:rPr>
        <w:t xml:space="preserve">No customer account information may be shared verbally without full authentication</w:t>
      </w:r>
    </w:p>
    <w:p>
      <w:pPr>
        <w:pStyle w:val="ListParagraph"/>
        <w:numPr>
          <w:ilvl w:val="0"/>
          <w:numId w:val="2"/>
        </w:numPr>
        <w:spacing w:after="60" w:before="60"/>
      </w:pPr>
      <w:r>
        <w:rPr>
          <w:rFonts w:ascii="Arial" w:cs="Arial" w:eastAsia="Arial" w:hAnsi="Arial"/>
          <w:color w:val="1A1A2E"/>
          <w:sz w:val="22"/>
          <w:szCs w:val="22"/>
        </w:rPr>
        <w:t xml:space="preserve">All calls are recorded and retained for a minimum of 12 months</w:t>
      </w:r>
    </w:p>
    <w:p>
      <w:pPr>
        <w:pStyle w:val="ListParagraph"/>
        <w:numPr>
          <w:ilvl w:val="0"/>
          <w:numId w:val="2"/>
        </w:numPr>
        <w:spacing w:after="60" w:before="60"/>
      </w:pPr>
      <w:r>
        <w:rPr>
          <w:rFonts w:ascii="Arial" w:cs="Arial" w:eastAsia="Arial" w:hAnsi="Arial"/>
          <w:color w:val="1A1A2E"/>
          <w:sz w:val="22"/>
          <w:szCs w:val="22"/>
        </w:rPr>
        <w:t xml:space="preserve">Customer data must never be accessed on personal devices or unsecured networks</w:t>
      </w:r>
    </w:p>
    <w:p>
      <w:pPr>
        <w:pStyle w:val="ListParagraph"/>
        <w:numPr>
          <w:ilvl w:val="0"/>
          <w:numId w:val="2"/>
        </w:numPr>
        <w:spacing w:after="60" w:before="60"/>
      </w:pPr>
      <w:r>
        <w:rPr>
          <w:rFonts w:ascii="Arial" w:cs="Arial" w:eastAsia="Arial" w:hAnsi="Arial"/>
          <w:color w:val="1A1A2E"/>
          <w:sz w:val="22"/>
          <w:szCs w:val="22"/>
        </w:rPr>
        <w:t xml:space="preserve">Data access logs are audited monthly by the Information Security team</w:t>
      </w:r>
    </w:p>
    <w:p>
      <w:pPr>
        <w:pStyle w:val="ListParagraph"/>
        <w:numPr>
          <w:ilvl w:val="0"/>
          <w:numId w:val="2"/>
        </w:numPr>
        <w:spacing w:after="60" w:before="60"/>
      </w:pPr>
      <w:r>
        <w:rPr>
          <w:rFonts w:ascii="Arial" w:cs="Arial" w:eastAsia="Arial" w:hAnsi="Arial"/>
          <w:color w:val="1A1A2E"/>
          <w:sz w:val="22"/>
          <w:szCs w:val="22"/>
        </w:rPr>
        <w:t xml:space="preserve">Customer requests for data deletion under DPDP Act to be processed within 30 days</w:t>
      </w:r>
    </w:p>
    <w:p>
      <w:pPr>
        <w:spacing w:after="120" w:before="0"/>
      </w:pPr>
      <w:r>
        <w:t xml:space="preserve"/>
      </w:r>
    </w:p>
    <w:p>
      <w:pPr>
        <w:pStyle w:val="Heading2"/>
        <w:spacing w:after="160" w:before="280"/>
      </w:pPr>
      <w:r>
        <w:rPr>
          <w:rFonts w:ascii="Arial" w:cs="Arial" w:eastAsia="Arial" w:hAnsi="Arial"/>
          <w:b/>
          <w:bCs/>
          <w:color w:val="1F5C9E"/>
          <w:sz w:val="26"/>
          <w:szCs w:val="26"/>
        </w:rPr>
        <w:t xml:space="preserve">4.2 Zero-Tolerance Fraud Policy</w:t>
      </w:r>
    </w:p>
    <w:p>
      <w:pPr>
        <w:pStyle w:val="ListParagraph"/>
        <w:numPr>
          <w:ilvl w:val="0"/>
          <w:numId w:val="2"/>
        </w:numPr>
        <w:spacing w:after="60" w:before="60"/>
      </w:pPr>
      <w:r>
        <w:rPr>
          <w:rFonts w:ascii="Arial" w:cs="Arial" w:eastAsia="Arial" w:hAnsi="Arial"/>
          <w:color w:val="1A1A2E"/>
          <w:sz w:val="22"/>
          <w:szCs w:val="22"/>
        </w:rPr>
        <w:t xml:space="preserve">Any employee found complicit in customer fraud faces immediate termination and criminal prosecution</w:t>
      </w:r>
    </w:p>
    <w:p>
      <w:pPr>
        <w:pStyle w:val="ListParagraph"/>
        <w:numPr>
          <w:ilvl w:val="0"/>
          <w:numId w:val="2"/>
        </w:numPr>
        <w:spacing w:after="60" w:before="60"/>
      </w:pPr>
      <w:r>
        <w:rPr>
          <w:rFonts w:ascii="Arial" w:cs="Arial" w:eastAsia="Arial" w:hAnsi="Arial"/>
          <w:color w:val="1A1A2E"/>
          <w:sz w:val="22"/>
          <w:szCs w:val="22"/>
        </w:rPr>
        <w:t xml:space="preserve">All suspected fraud cases must be escalated regardless of amount</w:t>
      </w:r>
    </w:p>
    <w:p>
      <w:pPr>
        <w:pStyle w:val="ListParagraph"/>
        <w:numPr>
          <w:ilvl w:val="0"/>
          <w:numId w:val="2"/>
        </w:numPr>
        <w:spacing w:after="60" w:before="60"/>
      </w:pPr>
      <w:r>
        <w:rPr>
          <w:rFonts w:ascii="Arial" w:cs="Arial" w:eastAsia="Arial" w:hAnsi="Arial"/>
          <w:color w:val="1A1A2E"/>
          <w:sz w:val="22"/>
          <w:szCs w:val="22"/>
        </w:rPr>
        <w:t xml:space="preserve">Employees must never request customer PINs, passwords, or OTPs</w:t>
      </w:r>
    </w:p>
    <w:p>
      <w:pPr>
        <w:pStyle w:val="ListParagraph"/>
        <w:numPr>
          <w:ilvl w:val="0"/>
          <w:numId w:val="2"/>
        </w:numPr>
        <w:spacing w:after="60" w:before="60"/>
      </w:pPr>
      <w:r>
        <w:rPr>
          <w:rFonts w:ascii="Arial" w:cs="Arial" w:eastAsia="Arial" w:hAnsi="Arial"/>
          <w:color w:val="1A1A2E"/>
          <w:sz w:val="22"/>
          <w:szCs w:val="22"/>
        </w:rPr>
        <w:t xml:space="preserve">Phishing-related calls to be documented and forwarded to Cybercrime Cell</w:t>
      </w:r>
    </w:p>
    <w:p>
      <w:pPr>
        <w:spacing w:after="120" w:before="0"/>
      </w:pPr>
      <w:r>
        <w:t xml:space="preserve"/>
      </w:r>
    </w:p>
    <w:p>
      <w:pPr>
        <w:pStyle w:val="Heading2"/>
        <w:spacing w:after="160" w:before="280"/>
      </w:pPr>
      <w:r>
        <w:rPr>
          <w:rFonts w:ascii="Arial" w:cs="Arial" w:eastAsia="Arial" w:hAnsi="Arial"/>
          <w:b/>
          <w:bCs/>
          <w:color w:val="1F5C9E"/>
          <w:sz w:val="26"/>
          <w:szCs w:val="26"/>
        </w:rPr>
        <w:t xml:space="preserve">4.3 Service Charge Waiver Policy</w:t>
      </w:r>
    </w:p>
    <w:p>
      <w:pPr>
        <w:spacing w:after="80" w:before="80"/>
      </w:pPr>
      <w:r>
        <w:rPr>
          <w:rFonts w:ascii="Arial" w:cs="Arial" w:eastAsia="Arial" w:hAnsi="Arial"/>
          <w:color w:val="1A1A2E"/>
          <w:sz w:val="22"/>
          <w:szCs w:val="22"/>
        </w:rPr>
        <w:t xml:space="preserve">Service charge waivers may be granted based on the following authority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ECDE0" w:sz="1"/>
              <w:left w:val="single" w:color="AECDE0" w:sz="1"/>
              <w:bottom w:val="single" w:color="AECDE0" w:sz="1"/>
              <w:right w:val="single" w:color="AECDE0" w:sz="1"/>
            </w:tcBorders>
            <w:shd w:fill="00336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Authority Level</w:t>
            </w:r>
          </w:p>
        </w:tc>
        <w:tc>
          <w:tcPr>
            <w:tcW w:type="dxa" w:w="3120"/>
            <w:tcBorders>
              <w:top w:val="single" w:color="AECDE0" w:sz="1"/>
              <w:left w:val="single" w:color="AECDE0" w:sz="1"/>
              <w:bottom w:val="single" w:color="AECDE0" w:sz="1"/>
              <w:right w:val="single" w:color="AECDE0" w:sz="1"/>
            </w:tcBorders>
            <w:shd w:fill="00336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Maximum Waiver Amount</w:t>
            </w:r>
          </w:p>
        </w:tc>
        <w:tc>
          <w:tcPr>
            <w:tcW w:type="dxa" w:w="3120"/>
            <w:tcBorders>
              <w:top w:val="single" w:color="AECDE0" w:sz="1"/>
              <w:left w:val="single" w:color="AECDE0" w:sz="1"/>
              <w:bottom w:val="single" w:color="AECDE0" w:sz="1"/>
              <w:right w:val="single" w:color="AECDE0" w:sz="1"/>
            </w:tcBorders>
            <w:shd w:fill="00336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Approval Required</w:t>
            </w:r>
          </w:p>
        </w:tc>
      </w:tr>
      <w:tr>
        <w:tc>
          <w:tcPr>
            <w:tcW w:type="dxa" w:w="312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Senior CSR (Level 2)</w:t>
            </w:r>
          </w:p>
        </w:tc>
        <w:tc>
          <w:tcPr>
            <w:tcW w:type="dxa" w:w="3120"/>
            <w:tcBorders>
              <w:top w:val="single" w:color="AECDE0" w:sz="1"/>
              <w:left w:val="single" w:color="AECDE0" w:sz="1"/>
              <w:bottom w:val="single" w:color="AECDE0" w:sz="1"/>
              <w:right w:val="single" w:color="AECDE0" w:sz="1"/>
            </w:tcBorders>
            <w:shd w:fill="FFFFFF"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Up to ₹500</w:t>
            </w:r>
          </w:p>
        </w:tc>
        <w:tc>
          <w:tcPr>
            <w:tcW w:type="dxa" w:w="3120"/>
            <w:tcBorders>
              <w:top w:val="single" w:color="AECDE0" w:sz="1"/>
              <w:left w:val="single" w:color="AECDE0" w:sz="1"/>
              <w:bottom w:val="single" w:color="AECDE0" w:sz="1"/>
              <w:right w:val="single" w:color="AECDE0" w:sz="1"/>
            </w:tcBorders>
            <w:shd w:fill="FFFFFF"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Self-authorized</w:t>
            </w:r>
          </w:p>
        </w:tc>
      </w:tr>
      <w:tr>
        <w:tc>
          <w:tcPr>
            <w:tcW w:type="dxa" w:w="312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Team Lead</w:t>
            </w:r>
          </w:p>
        </w:tc>
        <w:tc>
          <w:tcPr>
            <w:tcW w:type="dxa" w:w="3120"/>
            <w:tcBorders>
              <w:top w:val="single" w:color="AECDE0" w:sz="1"/>
              <w:left w:val="single" w:color="AECDE0" w:sz="1"/>
              <w:bottom w:val="single" w:color="AECDE0" w:sz="1"/>
              <w:right w:val="single" w:color="AECDE0" w:sz="1"/>
            </w:tcBorders>
            <w:shd w:fill="FFFFFF"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₹501 – ₹2,000</w:t>
            </w:r>
          </w:p>
        </w:tc>
        <w:tc>
          <w:tcPr>
            <w:tcW w:type="dxa" w:w="3120"/>
            <w:tcBorders>
              <w:top w:val="single" w:color="AECDE0" w:sz="1"/>
              <w:left w:val="single" w:color="AECDE0" w:sz="1"/>
              <w:bottom w:val="single" w:color="AECDE0" w:sz="1"/>
              <w:right w:val="single" w:color="AECDE0" w:sz="1"/>
            </w:tcBorders>
            <w:shd w:fill="FFFFFF"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Team Lead approval</w:t>
            </w:r>
          </w:p>
        </w:tc>
      </w:tr>
      <w:tr>
        <w:tc>
          <w:tcPr>
            <w:tcW w:type="dxa" w:w="312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Assistant Manager</w:t>
            </w:r>
          </w:p>
        </w:tc>
        <w:tc>
          <w:tcPr>
            <w:tcW w:type="dxa" w:w="3120"/>
            <w:tcBorders>
              <w:top w:val="single" w:color="AECDE0" w:sz="1"/>
              <w:left w:val="single" w:color="AECDE0" w:sz="1"/>
              <w:bottom w:val="single" w:color="AECDE0" w:sz="1"/>
              <w:right w:val="single" w:color="AECDE0" w:sz="1"/>
            </w:tcBorders>
            <w:shd w:fill="FFFFFF"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₹2,001 – ₹5,000</w:t>
            </w:r>
          </w:p>
        </w:tc>
        <w:tc>
          <w:tcPr>
            <w:tcW w:type="dxa" w:w="3120"/>
            <w:tcBorders>
              <w:top w:val="single" w:color="AECDE0" w:sz="1"/>
              <w:left w:val="single" w:color="AECDE0" w:sz="1"/>
              <w:bottom w:val="single" w:color="AECDE0" w:sz="1"/>
              <w:right w:val="single" w:color="AECDE0" w:sz="1"/>
            </w:tcBorders>
            <w:shd w:fill="FFFFFF"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AM + Department Head</w:t>
            </w:r>
          </w:p>
        </w:tc>
      </w:tr>
      <w:tr>
        <w:tc>
          <w:tcPr>
            <w:tcW w:type="dxa" w:w="312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Department Manager</w:t>
            </w:r>
          </w:p>
        </w:tc>
        <w:tc>
          <w:tcPr>
            <w:tcW w:type="dxa" w:w="3120"/>
            <w:tcBorders>
              <w:top w:val="single" w:color="AECDE0" w:sz="1"/>
              <w:left w:val="single" w:color="AECDE0" w:sz="1"/>
              <w:bottom w:val="single" w:color="AECDE0" w:sz="1"/>
              <w:right w:val="single" w:color="AECDE0" w:sz="1"/>
            </w:tcBorders>
            <w:shd w:fill="FFFFFF"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₹5,001 – ₹15,000</w:t>
            </w:r>
          </w:p>
        </w:tc>
        <w:tc>
          <w:tcPr>
            <w:tcW w:type="dxa" w:w="3120"/>
            <w:tcBorders>
              <w:top w:val="single" w:color="AECDE0" w:sz="1"/>
              <w:left w:val="single" w:color="AECDE0" w:sz="1"/>
              <w:bottom w:val="single" w:color="AECDE0" w:sz="1"/>
              <w:right w:val="single" w:color="AECDE0" w:sz="1"/>
            </w:tcBorders>
            <w:shd w:fill="FFFFFF"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Manager + CFO Clearance</w:t>
            </w:r>
          </w:p>
        </w:tc>
      </w:tr>
      <w:tr>
        <w:tc>
          <w:tcPr>
            <w:tcW w:type="dxa" w:w="312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SVP Operations</w:t>
            </w:r>
          </w:p>
        </w:tc>
        <w:tc>
          <w:tcPr>
            <w:tcW w:type="dxa" w:w="3120"/>
            <w:tcBorders>
              <w:top w:val="single" w:color="AECDE0" w:sz="1"/>
              <w:left w:val="single" w:color="AECDE0" w:sz="1"/>
              <w:bottom w:val="single" w:color="AECDE0" w:sz="1"/>
              <w:right w:val="single" w:color="AECDE0" w:sz="1"/>
            </w:tcBorders>
            <w:shd w:fill="FFFFFF"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Above ₹15,000</w:t>
            </w:r>
          </w:p>
        </w:tc>
        <w:tc>
          <w:tcPr>
            <w:tcW w:type="dxa" w:w="3120"/>
            <w:tcBorders>
              <w:top w:val="single" w:color="AECDE0" w:sz="1"/>
              <w:left w:val="single" w:color="AECDE0" w:sz="1"/>
              <w:bottom w:val="single" w:color="AECDE0" w:sz="1"/>
              <w:right w:val="single" w:color="AECDE0" w:sz="1"/>
            </w:tcBorders>
            <w:shd w:fill="FFFFFF"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SVP + Board Approval</w:t>
            </w:r>
          </w:p>
        </w:tc>
      </w:tr>
    </w:tbl>
    <w:p>
      <w:pPr>
        <w:spacing w:after="120" w:before="0"/>
      </w:pPr>
      <w:r>
        <w:t xml:space="preserve"/>
      </w:r>
    </w:p>
    <w:p>
      <w:pPr>
        <w:pStyle w:val="Heading2"/>
        <w:spacing w:after="160" w:before="280"/>
      </w:pPr>
      <w:r>
        <w:rPr>
          <w:rFonts w:ascii="Arial" w:cs="Arial" w:eastAsia="Arial" w:hAnsi="Arial"/>
          <w:b/>
          <w:bCs/>
          <w:color w:val="1F5C9E"/>
          <w:sz w:val="26"/>
          <w:szCs w:val="26"/>
        </w:rPr>
        <w:t xml:space="preserve">4.4 Complaint Management Policy</w:t>
      </w:r>
    </w:p>
    <w:p>
      <w:pPr>
        <w:pStyle w:val="ListParagraph"/>
        <w:numPr>
          <w:ilvl w:val="0"/>
          <w:numId w:val="2"/>
        </w:numPr>
        <w:spacing w:after="60" w:before="60"/>
      </w:pPr>
      <w:r>
        <w:rPr>
          <w:rFonts w:ascii="Arial" w:cs="Arial" w:eastAsia="Arial" w:hAnsi="Arial"/>
          <w:color w:val="1A1A2E"/>
          <w:sz w:val="22"/>
          <w:szCs w:val="22"/>
        </w:rPr>
        <w:t xml:space="preserve">All complaints must be acknowledged within 24 hours of receipt</w:t>
      </w:r>
    </w:p>
    <w:p>
      <w:pPr>
        <w:pStyle w:val="ListParagraph"/>
        <w:numPr>
          <w:ilvl w:val="0"/>
          <w:numId w:val="2"/>
        </w:numPr>
        <w:spacing w:after="60" w:before="60"/>
      </w:pPr>
      <w:r>
        <w:rPr>
          <w:rFonts w:ascii="Arial" w:cs="Arial" w:eastAsia="Arial" w:hAnsi="Arial"/>
          <w:color w:val="1A1A2E"/>
          <w:sz w:val="22"/>
          <w:szCs w:val="22"/>
        </w:rPr>
        <w:t xml:space="preserve">Level 1 complaints resolved within 5 business days</w:t>
      </w:r>
    </w:p>
    <w:p>
      <w:pPr>
        <w:pStyle w:val="ListParagraph"/>
        <w:numPr>
          <w:ilvl w:val="0"/>
          <w:numId w:val="2"/>
        </w:numPr>
        <w:spacing w:after="60" w:before="60"/>
      </w:pPr>
      <w:r>
        <w:rPr>
          <w:rFonts w:ascii="Arial" w:cs="Arial" w:eastAsia="Arial" w:hAnsi="Arial"/>
          <w:color w:val="1A1A2E"/>
          <w:sz w:val="22"/>
          <w:szCs w:val="22"/>
        </w:rPr>
        <w:t xml:space="preserve">Level 2 complaints resolved within 15 business days</w:t>
      </w:r>
    </w:p>
    <w:p>
      <w:pPr>
        <w:pStyle w:val="ListParagraph"/>
        <w:numPr>
          <w:ilvl w:val="0"/>
          <w:numId w:val="2"/>
        </w:numPr>
        <w:spacing w:after="60" w:before="60"/>
      </w:pPr>
      <w:r>
        <w:rPr>
          <w:rFonts w:ascii="Arial" w:cs="Arial" w:eastAsia="Arial" w:hAnsi="Arial"/>
          <w:color w:val="1A1A2E"/>
          <w:sz w:val="22"/>
          <w:szCs w:val="22"/>
        </w:rPr>
        <w:t xml:space="preserve">Banking Ombudsman cases resolved within 30 days</w:t>
      </w:r>
    </w:p>
    <w:p>
      <w:pPr>
        <w:pStyle w:val="ListParagraph"/>
        <w:numPr>
          <w:ilvl w:val="0"/>
          <w:numId w:val="2"/>
        </w:numPr>
        <w:spacing w:after="60" w:before="60"/>
      </w:pPr>
      <w:r>
        <w:rPr>
          <w:rFonts w:ascii="Arial" w:cs="Arial" w:eastAsia="Arial" w:hAnsi="Arial"/>
          <w:color w:val="1A1A2E"/>
          <w:sz w:val="22"/>
          <w:szCs w:val="22"/>
        </w:rPr>
        <w:t xml:space="preserve">Customer may escalate to RBI Banking Ombudsman if unsatisfied after 30 days</w:t>
      </w:r>
    </w:p>
    <w:p>
      <w:pPr>
        <w:pStyle w:val="ListParagraph"/>
        <w:numPr>
          <w:ilvl w:val="0"/>
          <w:numId w:val="2"/>
        </w:numPr>
        <w:spacing w:after="60" w:before="60"/>
      </w:pPr>
      <w:r>
        <w:rPr>
          <w:rFonts w:ascii="Arial" w:cs="Arial" w:eastAsia="Arial" w:hAnsi="Arial"/>
          <w:color w:val="1A1A2E"/>
          <w:sz w:val="22"/>
          <w:szCs w:val="22"/>
        </w:rPr>
        <w:t xml:space="preserve">Complaint compensation: interest at savings rate for delays beyond 5 days in valid claims</w:t>
      </w:r>
    </w:p>
    <w:p>
      <w:pPr>
        <w:spacing w:after="120" w:before="0"/>
      </w:pPr>
      <w:r>
        <w:t xml:space="preserve"/>
      </w:r>
    </w:p>
    <w:p>
      <w:pPr>
        <w:pStyle w:val="Heading2"/>
        <w:spacing w:after="160" w:before="280"/>
      </w:pPr>
      <w:r>
        <w:rPr>
          <w:rFonts w:ascii="Arial" w:cs="Arial" w:eastAsia="Arial" w:hAnsi="Arial"/>
          <w:b/>
          <w:bCs/>
          <w:color w:val="1F5C9E"/>
          <w:sz w:val="26"/>
          <w:szCs w:val="26"/>
        </w:rPr>
        <w:t xml:space="preserve">4.5 Equal Service Access Policy</w:t>
      </w:r>
    </w:p>
    <w:p>
      <w:pPr>
        <w:pStyle w:val="ListParagraph"/>
        <w:numPr>
          <w:ilvl w:val="0"/>
          <w:numId w:val="2"/>
        </w:numPr>
        <w:spacing w:after="60" w:before="60"/>
      </w:pPr>
      <w:r>
        <w:rPr>
          <w:rFonts w:ascii="Arial" w:cs="Arial" w:eastAsia="Arial" w:hAnsi="Arial"/>
          <w:color w:val="1A1A2E"/>
          <w:sz w:val="22"/>
          <w:szCs w:val="22"/>
        </w:rPr>
        <w:t xml:space="preserve">All customers must receive equal priority regardless of account balance or segment</w:t>
      </w:r>
    </w:p>
    <w:p>
      <w:pPr>
        <w:pStyle w:val="ListParagraph"/>
        <w:numPr>
          <w:ilvl w:val="0"/>
          <w:numId w:val="2"/>
        </w:numPr>
        <w:spacing w:after="60" w:before="60"/>
      </w:pPr>
      <w:r>
        <w:rPr>
          <w:rFonts w:ascii="Arial" w:cs="Arial" w:eastAsia="Arial" w:hAnsi="Arial"/>
          <w:color w:val="1A1A2E"/>
          <w:sz w:val="22"/>
          <w:szCs w:val="22"/>
        </w:rPr>
        <w:t xml:space="preserve">Senior citizens (60+) receive priority queue access with dedicated CSR allocation</w:t>
      </w:r>
    </w:p>
    <w:p>
      <w:pPr>
        <w:pStyle w:val="ListParagraph"/>
        <w:numPr>
          <w:ilvl w:val="0"/>
          <w:numId w:val="2"/>
        </w:numPr>
        <w:spacing w:after="60" w:before="60"/>
      </w:pPr>
      <w:r>
        <w:rPr>
          <w:rFonts w:ascii="Arial" w:cs="Arial" w:eastAsia="Arial" w:hAnsi="Arial"/>
          <w:color w:val="1A1A2E"/>
          <w:sz w:val="22"/>
          <w:szCs w:val="22"/>
        </w:rPr>
        <w:t xml:space="preserve">Differently-abled customers: dedicated support line 1800-FTB-ABLE available 24/7</w:t>
      </w:r>
    </w:p>
    <w:p>
      <w:pPr>
        <w:pStyle w:val="ListParagraph"/>
        <w:numPr>
          <w:ilvl w:val="0"/>
          <w:numId w:val="2"/>
        </w:numPr>
        <w:spacing w:after="60" w:before="60"/>
      </w:pPr>
      <w:r>
        <w:rPr>
          <w:rFonts w:ascii="Arial" w:cs="Arial" w:eastAsia="Arial" w:hAnsi="Arial"/>
          <w:color w:val="1A1A2E"/>
          <w:sz w:val="22"/>
          <w:szCs w:val="22"/>
        </w:rPr>
        <w:t xml:space="preserve">Multi-language support available in: English, Hindi, Telugu, Tamil, Kannada, Marathi, Bengali, Gujarati</w:t>
      </w:r>
    </w:p>
    <w:p>
      <w:pPr>
        <w:spacing w:after="120" w:before="0"/>
      </w:pPr>
      <w:r>
        <w:t xml:space="preserve"/>
      </w:r>
    </w:p>
    <w:p>
      <w:pPr>
        <w:pStyle w:val="Heading2"/>
        <w:spacing w:after="160" w:before="280"/>
      </w:pPr>
      <w:r>
        <w:rPr>
          <w:rFonts w:ascii="Arial" w:cs="Arial" w:eastAsia="Arial" w:hAnsi="Arial"/>
          <w:b/>
          <w:bCs/>
          <w:color w:val="1F5C9E"/>
          <w:sz w:val="26"/>
          <w:szCs w:val="26"/>
        </w:rPr>
        <w:t xml:space="preserve">4.6 Call Recording and QA Policy</w:t>
      </w:r>
    </w:p>
    <w:p>
      <w:pPr>
        <w:pStyle w:val="ListParagraph"/>
        <w:numPr>
          <w:ilvl w:val="0"/>
          <w:numId w:val="2"/>
        </w:numPr>
        <w:spacing w:after="60" w:before="60"/>
      </w:pPr>
      <w:r>
        <w:rPr>
          <w:rFonts w:ascii="Arial" w:cs="Arial" w:eastAsia="Arial" w:hAnsi="Arial"/>
          <w:color w:val="1A1A2E"/>
          <w:sz w:val="22"/>
          <w:szCs w:val="22"/>
        </w:rPr>
        <w:t xml:space="preserve">100% of calls are recorded for quality and compliance purposes</w:t>
      </w:r>
    </w:p>
    <w:p>
      <w:pPr>
        <w:pStyle w:val="ListParagraph"/>
        <w:numPr>
          <w:ilvl w:val="0"/>
          <w:numId w:val="2"/>
        </w:numPr>
        <w:spacing w:after="60" w:before="60"/>
      </w:pPr>
      <w:r>
        <w:rPr>
          <w:rFonts w:ascii="Arial" w:cs="Arial" w:eastAsia="Arial" w:hAnsi="Arial"/>
          <w:color w:val="1A1A2E"/>
          <w:sz w:val="22"/>
          <w:szCs w:val="22"/>
        </w:rPr>
        <w:t xml:space="preserve">Customers are informed of recording at the start of each call via IVR announcement</w:t>
      </w:r>
    </w:p>
    <w:p>
      <w:pPr>
        <w:pStyle w:val="ListParagraph"/>
        <w:numPr>
          <w:ilvl w:val="0"/>
          <w:numId w:val="2"/>
        </w:numPr>
        <w:spacing w:after="60" w:before="60"/>
      </w:pPr>
      <w:r>
        <w:rPr>
          <w:rFonts w:ascii="Arial" w:cs="Arial" w:eastAsia="Arial" w:hAnsi="Arial"/>
          <w:color w:val="1A1A2E"/>
          <w:sz w:val="22"/>
          <w:szCs w:val="22"/>
        </w:rPr>
        <w:t xml:space="preserve">Call recordings may be shared with regulatory bodies upon valid legal request</w:t>
      </w:r>
    </w:p>
    <w:p>
      <w:pPr>
        <w:pStyle w:val="ListParagraph"/>
        <w:numPr>
          <w:ilvl w:val="0"/>
          <w:numId w:val="2"/>
        </w:numPr>
        <w:spacing w:after="60" w:before="60"/>
      </w:pPr>
      <w:r>
        <w:rPr>
          <w:rFonts w:ascii="Arial" w:cs="Arial" w:eastAsia="Arial" w:hAnsi="Arial"/>
          <w:color w:val="1A1A2E"/>
          <w:sz w:val="22"/>
          <w:szCs w:val="22"/>
        </w:rPr>
        <w:t xml:space="preserve">Random call audits: minimum 10% of total calls audited monthly by QA team</w:t>
      </w:r>
    </w:p>
    <w:p>
      <w:pPr>
        <w:pStyle w:val="ListParagraph"/>
        <w:numPr>
          <w:ilvl w:val="0"/>
          <w:numId w:val="2"/>
        </w:numPr>
        <w:spacing w:after="60" w:before="60"/>
      </w:pPr>
      <w:r>
        <w:rPr>
          <w:rFonts w:ascii="Arial" w:cs="Arial" w:eastAsia="Arial" w:hAnsi="Arial"/>
          <w:color w:val="1A1A2E"/>
          <w:sz w:val="22"/>
          <w:szCs w:val="22"/>
        </w:rPr>
        <w:t xml:space="preserve">Calls involving fraud, disputes, or complaints are retained for 7 years</w:t>
      </w:r>
    </w:p>
    <w:p>
      <w:r>
        <w:br w:type="page"/>
      </w:r>
    </w:p>
    <w:p>
      <w:pPr>
        <w:pStyle w:val="Heading1"/>
        <w:spacing w:after="200" w:before="360"/>
      </w:pPr>
      <w:r>
        <w:rPr>
          <w:rFonts w:ascii="Arial" w:cs="Arial" w:eastAsia="Arial" w:hAnsi="Arial"/>
          <w:b/>
          <w:bCs/>
          <w:color w:val="003366"/>
          <w:sz w:val="32"/>
          <w:szCs w:val="32"/>
        </w:rPr>
        <w:t xml:space="preserve">5. Services Offered</w:t>
      </w:r>
    </w:p>
    <w:p>
      <w:pPr>
        <w:pStyle w:val="Heading2"/>
        <w:spacing w:after="160" w:before="280"/>
      </w:pPr>
      <w:r>
        <w:rPr>
          <w:rFonts w:ascii="Arial" w:cs="Arial" w:eastAsia="Arial" w:hAnsi="Arial"/>
          <w:b/>
          <w:bCs/>
          <w:color w:val="1F5C9E"/>
          <w:sz w:val="26"/>
          <w:szCs w:val="26"/>
        </w:rPr>
        <w:t xml:space="preserve">5.1 Account Services</w:t>
      </w:r>
    </w:p>
    <w:p>
      <w:pPr>
        <w:pStyle w:val="ListParagraph"/>
        <w:numPr>
          <w:ilvl w:val="0"/>
          <w:numId w:val="2"/>
        </w:numPr>
        <w:spacing w:after="60" w:before="60"/>
      </w:pPr>
      <w:r>
        <w:rPr>
          <w:rFonts w:ascii="Arial" w:cs="Arial" w:eastAsia="Arial" w:hAnsi="Arial"/>
          <w:color w:val="1A1A2E"/>
          <w:sz w:val="22"/>
          <w:szCs w:val="22"/>
        </w:rPr>
        <w:t xml:space="preserve">Account balance inquiry (savings, current, FD, RD, loan accounts)</w:t>
      </w:r>
    </w:p>
    <w:p>
      <w:pPr>
        <w:pStyle w:val="ListParagraph"/>
        <w:numPr>
          <w:ilvl w:val="0"/>
          <w:numId w:val="2"/>
        </w:numPr>
        <w:spacing w:after="60" w:before="60"/>
      </w:pPr>
      <w:r>
        <w:rPr>
          <w:rFonts w:ascii="Arial" w:cs="Arial" w:eastAsia="Arial" w:hAnsi="Arial"/>
          <w:color w:val="1A1A2E"/>
          <w:sz w:val="22"/>
          <w:szCs w:val="22"/>
        </w:rPr>
        <w:t xml:space="preserve">Transaction history – last 10 / 30 / 90 days</w:t>
      </w:r>
    </w:p>
    <w:p>
      <w:pPr>
        <w:pStyle w:val="ListParagraph"/>
        <w:numPr>
          <w:ilvl w:val="0"/>
          <w:numId w:val="2"/>
        </w:numPr>
        <w:spacing w:after="60" w:before="60"/>
      </w:pPr>
      <w:r>
        <w:rPr>
          <w:rFonts w:ascii="Arial" w:cs="Arial" w:eastAsia="Arial" w:hAnsi="Arial"/>
          <w:color w:val="1A1A2E"/>
          <w:sz w:val="22"/>
          <w:szCs w:val="22"/>
        </w:rPr>
        <w:t xml:space="preserve">Mini-statement via SMS, email, or ATM</w:t>
      </w:r>
    </w:p>
    <w:p>
      <w:pPr>
        <w:pStyle w:val="ListParagraph"/>
        <w:numPr>
          <w:ilvl w:val="0"/>
          <w:numId w:val="2"/>
        </w:numPr>
        <w:spacing w:after="60" w:before="60"/>
      </w:pPr>
      <w:r>
        <w:rPr>
          <w:rFonts w:ascii="Arial" w:cs="Arial" w:eastAsia="Arial" w:hAnsi="Arial"/>
          <w:color w:val="1A1A2E"/>
          <w:sz w:val="22"/>
          <w:szCs w:val="22"/>
        </w:rPr>
        <w:t xml:space="preserve">Account statement (email: free; physical: ₹100 per statement)</w:t>
      </w:r>
    </w:p>
    <w:p>
      <w:pPr>
        <w:pStyle w:val="ListParagraph"/>
        <w:numPr>
          <w:ilvl w:val="0"/>
          <w:numId w:val="2"/>
        </w:numPr>
        <w:spacing w:after="60" w:before="60"/>
      </w:pPr>
      <w:r>
        <w:rPr>
          <w:rFonts w:ascii="Arial" w:cs="Arial" w:eastAsia="Arial" w:hAnsi="Arial"/>
          <w:color w:val="1A1A2E"/>
          <w:sz w:val="22"/>
          <w:szCs w:val="22"/>
        </w:rPr>
        <w:t xml:space="preserve">Cheque book request and status tracking</w:t>
      </w:r>
    </w:p>
    <w:p>
      <w:pPr>
        <w:pStyle w:val="ListParagraph"/>
        <w:numPr>
          <w:ilvl w:val="0"/>
          <w:numId w:val="2"/>
        </w:numPr>
        <w:spacing w:after="60" w:before="60"/>
      </w:pPr>
      <w:r>
        <w:rPr>
          <w:rFonts w:ascii="Arial" w:cs="Arial" w:eastAsia="Arial" w:hAnsi="Arial"/>
          <w:color w:val="1A1A2E"/>
          <w:sz w:val="22"/>
          <w:szCs w:val="22"/>
        </w:rPr>
        <w:t xml:space="preserve">Account linking/de-linking for joint accounts</w:t>
      </w:r>
    </w:p>
    <w:p>
      <w:pPr>
        <w:pStyle w:val="ListParagraph"/>
        <w:numPr>
          <w:ilvl w:val="0"/>
          <w:numId w:val="2"/>
        </w:numPr>
        <w:spacing w:after="60" w:before="60"/>
      </w:pPr>
      <w:r>
        <w:rPr>
          <w:rFonts w:ascii="Arial" w:cs="Arial" w:eastAsia="Arial" w:hAnsi="Arial"/>
          <w:color w:val="1A1A2E"/>
          <w:sz w:val="22"/>
          <w:szCs w:val="22"/>
        </w:rPr>
        <w:t xml:space="preserve">Dormant account reactivation</w:t>
      </w:r>
    </w:p>
    <w:p>
      <w:pPr>
        <w:pStyle w:val="ListParagraph"/>
        <w:numPr>
          <w:ilvl w:val="0"/>
          <w:numId w:val="2"/>
        </w:numPr>
        <w:spacing w:after="60" w:before="60"/>
      </w:pPr>
      <w:r>
        <w:rPr>
          <w:rFonts w:ascii="Arial" w:cs="Arial" w:eastAsia="Arial" w:hAnsi="Arial"/>
          <w:color w:val="1A1A2E"/>
          <w:sz w:val="22"/>
          <w:szCs w:val="22"/>
        </w:rPr>
        <w:t xml:space="preserve">Account closure assistance</w:t>
      </w:r>
    </w:p>
    <w:p>
      <w:pPr>
        <w:spacing w:after="120" w:before="0"/>
      </w:pPr>
      <w:r>
        <w:t xml:space="preserve"/>
      </w:r>
    </w:p>
    <w:p>
      <w:pPr>
        <w:pStyle w:val="Heading2"/>
        <w:spacing w:after="160" w:before="280"/>
      </w:pPr>
      <w:r>
        <w:rPr>
          <w:rFonts w:ascii="Arial" w:cs="Arial" w:eastAsia="Arial" w:hAnsi="Arial"/>
          <w:b/>
          <w:bCs/>
          <w:color w:val="1F5C9E"/>
          <w:sz w:val="26"/>
          <w:szCs w:val="26"/>
        </w:rPr>
        <w:t xml:space="preserve">5.2 Card Services</w:t>
      </w:r>
    </w:p>
    <w:p>
      <w:pPr>
        <w:pStyle w:val="ListParagraph"/>
        <w:numPr>
          <w:ilvl w:val="0"/>
          <w:numId w:val="2"/>
        </w:numPr>
        <w:spacing w:after="60" w:before="60"/>
      </w:pPr>
      <w:r>
        <w:rPr>
          <w:rFonts w:ascii="Arial" w:cs="Arial" w:eastAsia="Arial" w:hAnsi="Arial"/>
          <w:color w:val="1A1A2E"/>
          <w:sz w:val="22"/>
          <w:szCs w:val="22"/>
        </w:rPr>
        <w:t xml:space="preserve">Debit card blocking (temporary and permanent)</w:t>
      </w:r>
    </w:p>
    <w:p>
      <w:pPr>
        <w:pStyle w:val="ListParagraph"/>
        <w:numPr>
          <w:ilvl w:val="0"/>
          <w:numId w:val="2"/>
        </w:numPr>
        <w:spacing w:after="60" w:before="60"/>
      </w:pPr>
      <w:r>
        <w:rPr>
          <w:rFonts w:ascii="Arial" w:cs="Arial" w:eastAsia="Arial" w:hAnsi="Arial"/>
          <w:color w:val="1A1A2E"/>
          <w:sz w:val="22"/>
          <w:szCs w:val="22"/>
        </w:rPr>
        <w:t xml:space="preserve">Debit card replacement request (standard: 7–10 days; express: 48 hours at ₹200 surcharge)</w:t>
      </w:r>
    </w:p>
    <w:p>
      <w:pPr>
        <w:pStyle w:val="ListParagraph"/>
        <w:numPr>
          <w:ilvl w:val="0"/>
          <w:numId w:val="2"/>
        </w:numPr>
        <w:spacing w:after="60" w:before="60"/>
      </w:pPr>
      <w:r>
        <w:rPr>
          <w:rFonts w:ascii="Arial" w:cs="Arial" w:eastAsia="Arial" w:hAnsi="Arial"/>
          <w:color w:val="1A1A2E"/>
          <w:sz w:val="22"/>
          <w:szCs w:val="22"/>
        </w:rPr>
        <w:t xml:space="preserve">PIN reset and regeneration (via IVR, ATM, or NetBanking)</w:t>
      </w:r>
    </w:p>
    <w:p>
      <w:pPr>
        <w:pStyle w:val="ListParagraph"/>
        <w:numPr>
          <w:ilvl w:val="0"/>
          <w:numId w:val="2"/>
        </w:numPr>
        <w:spacing w:after="60" w:before="60"/>
      </w:pPr>
      <w:r>
        <w:rPr>
          <w:rFonts w:ascii="Arial" w:cs="Arial" w:eastAsia="Arial" w:hAnsi="Arial"/>
          <w:color w:val="1A1A2E"/>
          <w:sz w:val="22"/>
          <w:szCs w:val="22"/>
        </w:rPr>
        <w:t xml:space="preserve">International transaction enablement/disablement</w:t>
      </w:r>
    </w:p>
    <w:p>
      <w:pPr>
        <w:pStyle w:val="ListParagraph"/>
        <w:numPr>
          <w:ilvl w:val="0"/>
          <w:numId w:val="2"/>
        </w:numPr>
        <w:spacing w:after="60" w:before="60"/>
      </w:pPr>
      <w:r>
        <w:rPr>
          <w:rFonts w:ascii="Arial" w:cs="Arial" w:eastAsia="Arial" w:hAnsi="Arial"/>
          <w:color w:val="1A1A2E"/>
          <w:sz w:val="22"/>
          <w:szCs w:val="22"/>
        </w:rPr>
        <w:t xml:space="preserve">Daily withdrawal/POS limit modification</w:t>
      </w:r>
    </w:p>
    <w:p>
      <w:pPr>
        <w:pStyle w:val="ListParagraph"/>
        <w:numPr>
          <w:ilvl w:val="0"/>
          <w:numId w:val="2"/>
        </w:numPr>
        <w:spacing w:after="60" w:before="60"/>
      </w:pPr>
      <w:r>
        <w:rPr>
          <w:rFonts w:ascii="Arial" w:cs="Arial" w:eastAsia="Arial" w:hAnsi="Arial"/>
          <w:color w:val="1A1A2E"/>
          <w:sz w:val="22"/>
          <w:szCs w:val="22"/>
        </w:rPr>
        <w:t xml:space="preserve">Credit card limit enhancement or reduction requests</w:t>
      </w:r>
    </w:p>
    <w:p>
      <w:pPr>
        <w:pStyle w:val="ListParagraph"/>
        <w:numPr>
          <w:ilvl w:val="0"/>
          <w:numId w:val="2"/>
        </w:numPr>
        <w:spacing w:after="60" w:before="60"/>
      </w:pPr>
      <w:r>
        <w:rPr>
          <w:rFonts w:ascii="Arial" w:cs="Arial" w:eastAsia="Arial" w:hAnsi="Arial"/>
          <w:color w:val="1A1A2E"/>
          <w:sz w:val="22"/>
          <w:szCs w:val="22"/>
        </w:rPr>
        <w:t xml:space="preserve">Credit card statement and EMI conversion requests</w:t>
      </w:r>
    </w:p>
    <w:p>
      <w:pPr>
        <w:pStyle w:val="ListParagraph"/>
        <w:numPr>
          <w:ilvl w:val="0"/>
          <w:numId w:val="2"/>
        </w:numPr>
        <w:spacing w:after="60" w:before="60"/>
      </w:pPr>
      <w:r>
        <w:rPr>
          <w:rFonts w:ascii="Arial" w:cs="Arial" w:eastAsia="Arial" w:hAnsi="Arial"/>
          <w:color w:val="1A1A2E"/>
          <w:sz w:val="22"/>
          <w:szCs w:val="22"/>
        </w:rPr>
        <w:t xml:space="preserve">Credit card dispute and chargeback initiation</w:t>
      </w:r>
    </w:p>
    <w:p>
      <w:pPr>
        <w:spacing w:after="120" w:before="0"/>
      </w:pPr>
      <w:r>
        <w:t xml:space="preserve"/>
      </w:r>
    </w:p>
    <w:p>
      <w:pPr>
        <w:pStyle w:val="Heading2"/>
        <w:spacing w:after="160" w:before="280"/>
      </w:pPr>
      <w:r>
        <w:rPr>
          <w:rFonts w:ascii="Arial" w:cs="Arial" w:eastAsia="Arial" w:hAnsi="Arial"/>
          <w:b/>
          <w:bCs/>
          <w:color w:val="1F5C9E"/>
          <w:sz w:val="26"/>
          <w:szCs w:val="26"/>
        </w:rPr>
        <w:t xml:space="preserve">5.3 Digital Banking Services</w:t>
      </w:r>
    </w:p>
    <w:p>
      <w:pPr>
        <w:pStyle w:val="ListParagraph"/>
        <w:numPr>
          <w:ilvl w:val="0"/>
          <w:numId w:val="2"/>
        </w:numPr>
        <w:spacing w:after="60" w:before="60"/>
      </w:pPr>
      <w:r>
        <w:rPr>
          <w:rFonts w:ascii="Arial" w:cs="Arial" w:eastAsia="Arial" w:hAnsi="Arial"/>
          <w:color w:val="1A1A2E"/>
          <w:sz w:val="22"/>
          <w:szCs w:val="22"/>
        </w:rPr>
        <w:t xml:space="preserve">Internet banking (NetBanking) registration and password reset</w:t>
      </w:r>
    </w:p>
    <w:p>
      <w:pPr>
        <w:pStyle w:val="ListParagraph"/>
        <w:numPr>
          <w:ilvl w:val="0"/>
          <w:numId w:val="2"/>
        </w:numPr>
        <w:spacing w:after="60" w:before="60"/>
      </w:pPr>
      <w:r>
        <w:rPr>
          <w:rFonts w:ascii="Arial" w:cs="Arial" w:eastAsia="Arial" w:hAnsi="Arial"/>
          <w:color w:val="1A1A2E"/>
          <w:sz w:val="22"/>
          <w:szCs w:val="22"/>
        </w:rPr>
        <w:t xml:space="preserve">FuturePay Mobile App setup and troubleshooting</w:t>
      </w:r>
    </w:p>
    <w:p>
      <w:pPr>
        <w:pStyle w:val="ListParagraph"/>
        <w:numPr>
          <w:ilvl w:val="0"/>
          <w:numId w:val="2"/>
        </w:numPr>
        <w:spacing w:after="60" w:before="60"/>
      </w:pPr>
      <w:r>
        <w:rPr>
          <w:rFonts w:ascii="Arial" w:cs="Arial" w:eastAsia="Arial" w:hAnsi="Arial"/>
          <w:color w:val="1A1A2E"/>
          <w:sz w:val="22"/>
          <w:szCs w:val="22"/>
        </w:rPr>
        <w:t xml:space="preserve">UPI ID registration and management</w:t>
      </w:r>
    </w:p>
    <w:p>
      <w:pPr>
        <w:pStyle w:val="ListParagraph"/>
        <w:numPr>
          <w:ilvl w:val="0"/>
          <w:numId w:val="2"/>
        </w:numPr>
        <w:spacing w:after="60" w:before="60"/>
      </w:pPr>
      <w:r>
        <w:rPr>
          <w:rFonts w:ascii="Arial" w:cs="Arial" w:eastAsia="Arial" w:hAnsi="Arial"/>
          <w:color w:val="1A1A2E"/>
          <w:sz w:val="22"/>
          <w:szCs w:val="22"/>
        </w:rPr>
        <w:t xml:space="preserve">IMPS, NEFT, and RTGS query resolution</w:t>
      </w:r>
    </w:p>
    <w:p>
      <w:pPr>
        <w:pStyle w:val="ListParagraph"/>
        <w:numPr>
          <w:ilvl w:val="0"/>
          <w:numId w:val="2"/>
        </w:numPr>
        <w:spacing w:after="60" w:before="60"/>
      </w:pPr>
      <w:r>
        <w:rPr>
          <w:rFonts w:ascii="Arial" w:cs="Arial" w:eastAsia="Arial" w:hAnsi="Arial"/>
          <w:color w:val="1A1A2E"/>
          <w:sz w:val="22"/>
          <w:szCs w:val="22"/>
        </w:rPr>
        <w:t xml:space="preserve">Beneficiary addition support</w:t>
      </w:r>
    </w:p>
    <w:p>
      <w:pPr>
        <w:pStyle w:val="ListParagraph"/>
        <w:numPr>
          <w:ilvl w:val="0"/>
          <w:numId w:val="2"/>
        </w:numPr>
        <w:spacing w:after="60" w:before="60"/>
      </w:pPr>
      <w:r>
        <w:rPr>
          <w:rFonts w:ascii="Arial" w:cs="Arial" w:eastAsia="Arial" w:hAnsi="Arial"/>
          <w:color w:val="1A1A2E"/>
          <w:sz w:val="22"/>
          <w:szCs w:val="22"/>
        </w:rPr>
        <w:t xml:space="preserve">AutoPay / NACH mandate setup and cancellation</w:t>
      </w:r>
    </w:p>
    <w:p>
      <w:pPr>
        <w:pStyle w:val="ListParagraph"/>
        <w:numPr>
          <w:ilvl w:val="0"/>
          <w:numId w:val="2"/>
        </w:numPr>
        <w:spacing w:after="60" w:before="60"/>
      </w:pPr>
      <w:r>
        <w:rPr>
          <w:rFonts w:ascii="Arial" w:cs="Arial" w:eastAsia="Arial" w:hAnsi="Arial"/>
          <w:color w:val="1A1A2E"/>
          <w:sz w:val="22"/>
          <w:szCs w:val="22"/>
        </w:rPr>
        <w:t xml:space="preserve">Digital locker (DigiLocker) integration assistance</w:t>
      </w:r>
    </w:p>
    <w:p>
      <w:pPr>
        <w:spacing w:after="120" w:before="0"/>
      </w:pPr>
      <w:r>
        <w:t xml:space="preserve"/>
      </w:r>
    </w:p>
    <w:p>
      <w:pPr>
        <w:pStyle w:val="Heading2"/>
        <w:spacing w:after="160" w:before="280"/>
      </w:pPr>
      <w:r>
        <w:rPr>
          <w:rFonts w:ascii="Arial" w:cs="Arial" w:eastAsia="Arial" w:hAnsi="Arial"/>
          <w:b/>
          <w:bCs/>
          <w:color w:val="1F5C9E"/>
          <w:sz w:val="26"/>
          <w:szCs w:val="26"/>
        </w:rPr>
        <w:t xml:space="preserve">5.4 Loan and Credit Services</w:t>
      </w:r>
    </w:p>
    <w:p>
      <w:pPr>
        <w:pStyle w:val="ListParagraph"/>
        <w:numPr>
          <w:ilvl w:val="0"/>
          <w:numId w:val="2"/>
        </w:numPr>
        <w:spacing w:after="60" w:before="60"/>
      </w:pPr>
      <w:r>
        <w:rPr>
          <w:rFonts w:ascii="Arial" w:cs="Arial" w:eastAsia="Arial" w:hAnsi="Arial"/>
          <w:color w:val="1A1A2E"/>
          <w:sz w:val="22"/>
          <w:szCs w:val="22"/>
        </w:rPr>
        <w:t xml:space="preserve">Home loan, personal loan, and auto loan eligibility inquiries</w:t>
      </w:r>
    </w:p>
    <w:p>
      <w:pPr>
        <w:pStyle w:val="ListParagraph"/>
        <w:numPr>
          <w:ilvl w:val="0"/>
          <w:numId w:val="2"/>
        </w:numPr>
        <w:spacing w:after="60" w:before="60"/>
      </w:pPr>
      <w:r>
        <w:rPr>
          <w:rFonts w:ascii="Arial" w:cs="Arial" w:eastAsia="Arial" w:hAnsi="Arial"/>
          <w:color w:val="1A1A2E"/>
          <w:sz w:val="22"/>
          <w:szCs w:val="22"/>
        </w:rPr>
        <w:t xml:space="preserve">Loan application status tracking</w:t>
      </w:r>
    </w:p>
    <w:p>
      <w:pPr>
        <w:pStyle w:val="ListParagraph"/>
        <w:numPr>
          <w:ilvl w:val="0"/>
          <w:numId w:val="2"/>
        </w:numPr>
        <w:spacing w:after="60" w:before="60"/>
      </w:pPr>
      <w:r>
        <w:rPr>
          <w:rFonts w:ascii="Arial" w:cs="Arial" w:eastAsia="Arial" w:hAnsi="Arial"/>
          <w:color w:val="1A1A2E"/>
          <w:sz w:val="22"/>
          <w:szCs w:val="22"/>
        </w:rPr>
        <w:t xml:space="preserve">EMI schedule and outstanding balance inquiry</w:t>
      </w:r>
    </w:p>
    <w:p>
      <w:pPr>
        <w:pStyle w:val="ListParagraph"/>
        <w:numPr>
          <w:ilvl w:val="0"/>
          <w:numId w:val="2"/>
        </w:numPr>
        <w:spacing w:after="60" w:before="60"/>
      </w:pPr>
      <w:r>
        <w:rPr>
          <w:rFonts w:ascii="Arial" w:cs="Arial" w:eastAsia="Arial" w:hAnsi="Arial"/>
          <w:color w:val="1A1A2E"/>
          <w:sz w:val="22"/>
          <w:szCs w:val="22"/>
        </w:rPr>
        <w:t xml:space="preserve">Foreclosure charge inquiry and pre-closure requests</w:t>
      </w:r>
    </w:p>
    <w:p>
      <w:pPr>
        <w:pStyle w:val="ListParagraph"/>
        <w:numPr>
          <w:ilvl w:val="0"/>
          <w:numId w:val="2"/>
        </w:numPr>
        <w:spacing w:after="60" w:before="60"/>
      </w:pPr>
      <w:r>
        <w:rPr>
          <w:rFonts w:ascii="Arial" w:cs="Arial" w:eastAsia="Arial" w:hAnsi="Arial"/>
          <w:color w:val="1A1A2E"/>
          <w:sz w:val="22"/>
          <w:szCs w:val="22"/>
        </w:rPr>
        <w:t xml:space="preserve">Loan NOC request post full repayment</w:t>
      </w:r>
    </w:p>
    <w:p>
      <w:pPr>
        <w:pStyle w:val="ListParagraph"/>
        <w:numPr>
          <w:ilvl w:val="0"/>
          <w:numId w:val="2"/>
        </w:numPr>
        <w:spacing w:after="60" w:before="60"/>
      </w:pPr>
      <w:r>
        <w:rPr>
          <w:rFonts w:ascii="Arial" w:cs="Arial" w:eastAsia="Arial" w:hAnsi="Arial"/>
          <w:color w:val="1A1A2E"/>
          <w:sz w:val="22"/>
          <w:szCs w:val="22"/>
        </w:rPr>
        <w:t xml:space="preserve">Loan restructuring guidance</w:t>
      </w:r>
    </w:p>
    <w:p>
      <w:pPr>
        <w:spacing w:after="120" w:before="0"/>
      </w:pPr>
      <w:r>
        <w:t xml:space="preserve"/>
      </w:r>
    </w:p>
    <w:p>
      <w:pPr>
        <w:pStyle w:val="Heading2"/>
        <w:spacing w:after="160" w:before="280"/>
      </w:pPr>
      <w:r>
        <w:rPr>
          <w:rFonts w:ascii="Arial" w:cs="Arial" w:eastAsia="Arial" w:hAnsi="Arial"/>
          <w:b/>
          <w:bCs/>
          <w:color w:val="1F5C9E"/>
          <w:sz w:val="26"/>
          <w:szCs w:val="26"/>
        </w:rPr>
        <w:t xml:space="preserve">5.5 Investment and Deposit Services</w:t>
      </w:r>
    </w:p>
    <w:p>
      <w:pPr>
        <w:pStyle w:val="ListParagraph"/>
        <w:numPr>
          <w:ilvl w:val="0"/>
          <w:numId w:val="2"/>
        </w:numPr>
        <w:spacing w:after="60" w:before="60"/>
      </w:pPr>
      <w:r>
        <w:rPr>
          <w:rFonts w:ascii="Arial" w:cs="Arial" w:eastAsia="Arial" w:hAnsi="Arial"/>
          <w:color w:val="1A1A2E"/>
          <w:sz w:val="22"/>
          <w:szCs w:val="22"/>
        </w:rPr>
        <w:t xml:space="preserve">Fixed Deposit (FD) and Recurring Deposit (RD) opening, renewal, and closure assistance</w:t>
      </w:r>
    </w:p>
    <w:p>
      <w:pPr>
        <w:pStyle w:val="ListParagraph"/>
        <w:numPr>
          <w:ilvl w:val="0"/>
          <w:numId w:val="2"/>
        </w:numPr>
        <w:spacing w:after="60" w:before="60"/>
      </w:pPr>
      <w:r>
        <w:rPr>
          <w:rFonts w:ascii="Arial" w:cs="Arial" w:eastAsia="Arial" w:hAnsi="Arial"/>
          <w:color w:val="1A1A2E"/>
          <w:sz w:val="22"/>
          <w:szCs w:val="22"/>
        </w:rPr>
        <w:t xml:space="preserve">FD interest rate inquiry</w:t>
      </w:r>
    </w:p>
    <w:p>
      <w:pPr>
        <w:pStyle w:val="ListParagraph"/>
        <w:numPr>
          <w:ilvl w:val="0"/>
          <w:numId w:val="2"/>
        </w:numPr>
        <w:spacing w:after="60" w:before="60"/>
      </w:pPr>
      <w:r>
        <w:rPr>
          <w:rFonts w:ascii="Arial" w:cs="Arial" w:eastAsia="Arial" w:hAnsi="Arial"/>
          <w:color w:val="1A1A2E"/>
          <w:sz w:val="22"/>
          <w:szCs w:val="22"/>
        </w:rPr>
        <w:t xml:space="preserve">Premature FD closure with applicable penalty guidance</w:t>
      </w:r>
    </w:p>
    <w:p>
      <w:pPr>
        <w:pStyle w:val="ListParagraph"/>
        <w:numPr>
          <w:ilvl w:val="0"/>
          <w:numId w:val="2"/>
        </w:numPr>
        <w:spacing w:after="60" w:before="60"/>
      </w:pPr>
      <w:r>
        <w:rPr>
          <w:rFonts w:ascii="Arial" w:cs="Arial" w:eastAsia="Arial" w:hAnsi="Arial"/>
          <w:color w:val="1A1A2E"/>
          <w:sz w:val="22"/>
          <w:szCs w:val="22"/>
        </w:rPr>
        <w:t xml:space="preserve">Systematic Investment Plan (SIP) through FutureTrust Mutual Funds</w:t>
      </w:r>
    </w:p>
    <w:p>
      <w:pPr>
        <w:pStyle w:val="ListParagraph"/>
        <w:numPr>
          <w:ilvl w:val="0"/>
          <w:numId w:val="2"/>
        </w:numPr>
        <w:spacing w:after="60" w:before="60"/>
      </w:pPr>
      <w:r>
        <w:rPr>
          <w:rFonts w:ascii="Arial" w:cs="Arial" w:eastAsia="Arial" w:hAnsi="Arial"/>
          <w:color w:val="1A1A2E"/>
          <w:sz w:val="22"/>
          <w:szCs w:val="22"/>
        </w:rPr>
        <w:t xml:space="preserve">Sovereign Gold Bond (SGB) inquiry and application assistance</w:t>
      </w:r>
    </w:p>
    <w:p>
      <w:pPr>
        <w:pStyle w:val="ListParagraph"/>
        <w:numPr>
          <w:ilvl w:val="0"/>
          <w:numId w:val="2"/>
        </w:numPr>
        <w:spacing w:after="60" w:before="60"/>
      </w:pPr>
      <w:r>
        <w:rPr>
          <w:rFonts w:ascii="Arial" w:cs="Arial" w:eastAsia="Arial" w:hAnsi="Arial"/>
          <w:color w:val="1A1A2E"/>
          <w:sz w:val="22"/>
          <w:szCs w:val="22"/>
        </w:rPr>
        <w:t xml:space="preserve">National Pension System (NPS) account support</w:t>
      </w:r>
    </w:p>
    <w:p>
      <w:pPr>
        <w:spacing w:after="120" w:before="0"/>
      </w:pPr>
      <w:r>
        <w:t xml:space="preserve"/>
      </w:r>
    </w:p>
    <w:p>
      <w:pPr>
        <w:pStyle w:val="Heading2"/>
        <w:spacing w:after="160" w:before="280"/>
      </w:pPr>
      <w:r>
        <w:rPr>
          <w:rFonts w:ascii="Arial" w:cs="Arial" w:eastAsia="Arial" w:hAnsi="Arial"/>
          <w:b/>
          <w:bCs/>
          <w:color w:val="1F5C9E"/>
          <w:sz w:val="26"/>
          <w:szCs w:val="26"/>
        </w:rPr>
        <w:t xml:space="preserve">5.6 Specialized Customer Services</w:t>
      </w:r>
    </w:p>
    <w:p>
      <w:pPr>
        <w:pStyle w:val="ListParagraph"/>
        <w:numPr>
          <w:ilvl w:val="0"/>
          <w:numId w:val="2"/>
        </w:numPr>
        <w:spacing w:after="60" w:before="60"/>
      </w:pPr>
      <w:r>
        <w:rPr>
          <w:rFonts w:ascii="Arial" w:cs="Arial" w:eastAsia="Arial" w:hAnsi="Arial"/>
          <w:color w:val="1A1A2E"/>
          <w:sz w:val="22"/>
          <w:szCs w:val="22"/>
        </w:rPr>
        <w:t xml:space="preserve">Priority Banking – Dedicated relationship manager for balances ≥ ₹10 lakhs</w:t>
      </w:r>
    </w:p>
    <w:p>
      <w:pPr>
        <w:pStyle w:val="ListParagraph"/>
        <w:numPr>
          <w:ilvl w:val="0"/>
          <w:numId w:val="2"/>
        </w:numPr>
        <w:spacing w:after="60" w:before="60"/>
      </w:pPr>
      <w:r>
        <w:rPr>
          <w:rFonts w:ascii="Arial" w:cs="Arial" w:eastAsia="Arial" w:hAnsi="Arial"/>
          <w:color w:val="1A1A2E"/>
          <w:sz w:val="22"/>
          <w:szCs w:val="22"/>
        </w:rPr>
        <w:t xml:space="preserve">Senior Citizen Scheme – Special FD rates and doorstep banking</w:t>
      </w:r>
    </w:p>
    <w:p>
      <w:pPr>
        <w:pStyle w:val="ListParagraph"/>
        <w:numPr>
          <w:ilvl w:val="0"/>
          <w:numId w:val="2"/>
        </w:numPr>
        <w:spacing w:after="60" w:before="60"/>
      </w:pPr>
      <w:r>
        <w:rPr>
          <w:rFonts w:ascii="Arial" w:cs="Arial" w:eastAsia="Arial" w:hAnsi="Arial"/>
          <w:color w:val="1A1A2E"/>
          <w:sz w:val="22"/>
          <w:szCs w:val="22"/>
        </w:rPr>
        <w:t xml:space="preserve">Student Banking – Zero-balance accounts with study loan integration</w:t>
      </w:r>
    </w:p>
    <w:p>
      <w:pPr>
        <w:pStyle w:val="ListParagraph"/>
        <w:numPr>
          <w:ilvl w:val="0"/>
          <w:numId w:val="2"/>
        </w:numPr>
        <w:spacing w:after="60" w:before="60"/>
      </w:pPr>
      <w:r>
        <w:rPr>
          <w:rFonts w:ascii="Arial" w:cs="Arial" w:eastAsia="Arial" w:hAnsi="Arial"/>
          <w:color w:val="1A1A2E"/>
          <w:sz w:val="22"/>
          <w:szCs w:val="22"/>
        </w:rPr>
        <w:t xml:space="preserve">NRI Banking – FCNR, NRE, NRO account support and FEMA compliance</w:t>
      </w:r>
    </w:p>
    <w:p>
      <w:pPr>
        <w:pStyle w:val="ListParagraph"/>
        <w:numPr>
          <w:ilvl w:val="0"/>
          <w:numId w:val="2"/>
        </w:numPr>
        <w:spacing w:after="60" w:before="60"/>
      </w:pPr>
      <w:r>
        <w:rPr>
          <w:rFonts w:ascii="Arial" w:cs="Arial" w:eastAsia="Arial" w:hAnsi="Arial"/>
          <w:color w:val="1A1A2E"/>
          <w:sz w:val="22"/>
          <w:szCs w:val="22"/>
        </w:rPr>
        <w:t xml:space="preserve">Corporate/MSME Banking – Current account, OD/CC facility, and payroll services</w:t>
      </w:r>
    </w:p>
    <w:p>
      <w:pPr>
        <w:pStyle w:val="ListParagraph"/>
        <w:numPr>
          <w:ilvl w:val="0"/>
          <w:numId w:val="2"/>
        </w:numPr>
        <w:spacing w:after="60" w:before="60"/>
      </w:pPr>
      <w:r>
        <w:rPr>
          <w:rFonts w:ascii="Arial" w:cs="Arial" w:eastAsia="Arial" w:hAnsi="Arial"/>
          <w:color w:val="1A1A2E"/>
          <w:sz w:val="22"/>
          <w:szCs w:val="22"/>
        </w:rPr>
        <w:t xml:space="preserve">Government Scheme Support – PM Jan Dhan, PM Mudra Yojana, Kisan Credit Card assistance</w:t>
      </w:r>
    </w:p>
    <w:p>
      <w:r>
        <w:br w:type="page"/>
      </w:r>
    </w:p>
    <w:p>
      <w:pPr>
        <w:pStyle w:val="Heading1"/>
        <w:spacing w:after="200" w:before="360"/>
      </w:pPr>
      <w:r>
        <w:rPr>
          <w:rFonts w:ascii="Arial" w:cs="Arial" w:eastAsia="Arial" w:hAnsi="Arial"/>
          <w:b/>
          <w:bCs/>
          <w:color w:val="003366"/>
          <w:sz w:val="32"/>
          <w:szCs w:val="32"/>
        </w:rPr>
        <w:t xml:space="preserve">6. Customer Eligibility Rules</w:t>
      </w:r>
    </w:p>
    <w:p>
      <w:pPr>
        <w:pStyle w:val="Heading2"/>
        <w:spacing w:after="160" w:before="280"/>
      </w:pPr>
      <w:r>
        <w:rPr>
          <w:rFonts w:ascii="Arial" w:cs="Arial" w:eastAsia="Arial" w:hAnsi="Arial"/>
          <w:b/>
          <w:bCs/>
          <w:color w:val="1F5C9E"/>
          <w:sz w:val="26"/>
          <w:szCs w:val="26"/>
        </w:rPr>
        <w:t xml:space="preserve">6.1 Basic Savings Account</w:t>
      </w:r>
    </w:p>
    <w:p>
      <w:pPr>
        <w:pStyle w:val="ListParagraph"/>
        <w:numPr>
          <w:ilvl w:val="0"/>
          <w:numId w:val="2"/>
        </w:numPr>
        <w:spacing w:after="60" w:before="60"/>
      </w:pPr>
      <w:r>
        <w:rPr>
          <w:rFonts w:ascii="Arial" w:cs="Arial" w:eastAsia="Arial" w:hAnsi="Arial"/>
          <w:color w:val="1A1A2E"/>
          <w:sz w:val="22"/>
          <w:szCs w:val="22"/>
        </w:rPr>
        <w:t xml:space="preserve">Age: 18 years and above (minors with guardian as joint holder)</w:t>
      </w:r>
    </w:p>
    <w:p>
      <w:pPr>
        <w:pStyle w:val="ListParagraph"/>
        <w:numPr>
          <w:ilvl w:val="0"/>
          <w:numId w:val="2"/>
        </w:numPr>
        <w:spacing w:after="60" w:before="60"/>
      </w:pPr>
      <w:r>
        <w:rPr>
          <w:rFonts w:ascii="Arial" w:cs="Arial" w:eastAsia="Arial" w:hAnsi="Arial"/>
          <w:color w:val="1A1A2E"/>
          <w:sz w:val="22"/>
          <w:szCs w:val="22"/>
        </w:rPr>
        <w:t xml:space="preserve">Documents: Any one OVD (Officially Valid Document) + PAN or Form 60</w:t>
      </w:r>
    </w:p>
    <w:p>
      <w:pPr>
        <w:pStyle w:val="ListParagraph"/>
        <w:numPr>
          <w:ilvl w:val="0"/>
          <w:numId w:val="2"/>
        </w:numPr>
        <w:spacing w:after="60" w:before="60"/>
      </w:pPr>
      <w:r>
        <w:rPr>
          <w:rFonts w:ascii="Arial" w:cs="Arial" w:eastAsia="Arial" w:hAnsi="Arial"/>
          <w:color w:val="1A1A2E"/>
          <w:sz w:val="22"/>
          <w:szCs w:val="22"/>
        </w:rPr>
        <w:t xml:space="preserve">Minimum balance: ₹0 (Zero Balance – Basic Savings Bank Deposit Account under RBI guidelines)</w:t>
      </w:r>
    </w:p>
    <w:p>
      <w:pPr>
        <w:pStyle w:val="ListParagraph"/>
        <w:numPr>
          <w:ilvl w:val="0"/>
          <w:numId w:val="2"/>
        </w:numPr>
        <w:spacing w:after="60" w:before="60"/>
      </w:pPr>
      <w:r>
        <w:rPr>
          <w:rFonts w:ascii="Arial" w:cs="Arial" w:eastAsia="Arial" w:hAnsi="Arial"/>
          <w:color w:val="1A1A2E"/>
          <w:sz w:val="22"/>
          <w:szCs w:val="22"/>
        </w:rPr>
        <w:t xml:space="preserve">Citizenship: Indian resident; NRIs not eligible for regular savings account</w:t>
      </w:r>
    </w:p>
    <w:p>
      <w:pPr>
        <w:spacing w:after="120" w:before="0"/>
      </w:pPr>
      <w:r>
        <w:t xml:space="preserve"/>
      </w:r>
    </w:p>
    <w:p>
      <w:pPr>
        <w:pStyle w:val="Heading2"/>
        <w:spacing w:after="160" w:before="280"/>
      </w:pPr>
      <w:r>
        <w:rPr>
          <w:rFonts w:ascii="Arial" w:cs="Arial" w:eastAsia="Arial" w:hAnsi="Arial"/>
          <w:b/>
          <w:bCs/>
          <w:color w:val="1F5C9E"/>
          <w:sz w:val="26"/>
          <w:szCs w:val="26"/>
        </w:rPr>
        <w:t xml:space="preserve">6.2 FutureTrust Premium Savings Account</w:t>
      </w:r>
    </w:p>
    <w:p>
      <w:pPr>
        <w:pStyle w:val="ListParagraph"/>
        <w:numPr>
          <w:ilvl w:val="0"/>
          <w:numId w:val="2"/>
        </w:numPr>
        <w:spacing w:after="60" w:before="60"/>
      </w:pPr>
      <w:r>
        <w:rPr>
          <w:rFonts w:ascii="Arial" w:cs="Arial" w:eastAsia="Arial" w:hAnsi="Arial"/>
          <w:color w:val="1A1A2E"/>
          <w:sz w:val="22"/>
          <w:szCs w:val="22"/>
        </w:rPr>
        <w:t xml:space="preserve">Minimum Average Monthly Balance: ₹25,000 (urban); ₹15,000 (semi-urban); ₹5,000 (rural)</w:t>
      </w:r>
    </w:p>
    <w:p>
      <w:pPr>
        <w:pStyle w:val="ListParagraph"/>
        <w:numPr>
          <w:ilvl w:val="0"/>
          <w:numId w:val="2"/>
        </w:numPr>
        <w:spacing w:after="60" w:before="60"/>
      </w:pPr>
      <w:r>
        <w:rPr>
          <w:rFonts w:ascii="Arial" w:cs="Arial" w:eastAsia="Arial" w:hAnsi="Arial"/>
          <w:color w:val="1A1A2E"/>
          <w:sz w:val="22"/>
          <w:szCs w:val="22"/>
        </w:rPr>
        <w:t xml:space="preserve">Benefits: Complimentary debit card, 2 free DDs per month, priority service</w:t>
      </w:r>
    </w:p>
    <w:p>
      <w:pPr>
        <w:pStyle w:val="ListParagraph"/>
        <w:numPr>
          <w:ilvl w:val="0"/>
          <w:numId w:val="2"/>
        </w:numPr>
        <w:spacing w:after="60" w:before="60"/>
      </w:pPr>
      <w:r>
        <w:rPr>
          <w:rFonts w:ascii="Arial" w:cs="Arial" w:eastAsia="Arial" w:hAnsi="Arial"/>
          <w:color w:val="1A1A2E"/>
          <w:sz w:val="22"/>
          <w:szCs w:val="22"/>
        </w:rPr>
        <w:t xml:space="preserve">Penalty for non-maintenance: ₹500 per quarter or 2% of shortfall, whichever is lower</w:t>
      </w:r>
    </w:p>
    <w:p>
      <w:pPr>
        <w:spacing w:after="120" w:before="0"/>
      </w:pPr>
      <w:r>
        <w:t xml:space="preserve"/>
      </w:r>
    </w:p>
    <w:p>
      <w:pPr>
        <w:pStyle w:val="Heading2"/>
        <w:spacing w:after="160" w:before="280"/>
      </w:pPr>
      <w:r>
        <w:rPr>
          <w:rFonts w:ascii="Arial" w:cs="Arial" w:eastAsia="Arial" w:hAnsi="Arial"/>
          <w:b/>
          <w:bCs/>
          <w:color w:val="1F5C9E"/>
          <w:sz w:val="26"/>
          <w:szCs w:val="26"/>
        </w:rPr>
        <w:t xml:space="preserve">6.3 FutureTrust Priority Banking (Prestige Club)</w:t>
      </w:r>
    </w:p>
    <w:p>
      <w:pPr>
        <w:pStyle w:val="ListParagraph"/>
        <w:numPr>
          <w:ilvl w:val="0"/>
          <w:numId w:val="2"/>
        </w:numPr>
        <w:spacing w:after="60" w:before="60"/>
      </w:pPr>
      <w:r>
        <w:rPr>
          <w:rFonts w:ascii="Arial" w:cs="Arial" w:eastAsia="Arial" w:hAnsi="Arial"/>
          <w:color w:val="1A1A2E"/>
          <w:sz w:val="22"/>
          <w:szCs w:val="22"/>
        </w:rPr>
        <w:t xml:space="preserve">Minimum Net Relationship Value (NRV): ₹10 lakhs across all FutureTrust accounts</w:t>
      </w:r>
    </w:p>
    <w:p>
      <w:pPr>
        <w:pStyle w:val="ListParagraph"/>
        <w:numPr>
          <w:ilvl w:val="0"/>
          <w:numId w:val="2"/>
        </w:numPr>
        <w:spacing w:after="60" w:before="60"/>
      </w:pPr>
      <w:r>
        <w:rPr>
          <w:rFonts w:ascii="Arial" w:cs="Arial" w:eastAsia="Arial" w:hAnsi="Arial"/>
          <w:color w:val="1A1A2E"/>
          <w:sz w:val="22"/>
          <w:szCs w:val="22"/>
        </w:rPr>
        <w:t xml:space="preserve">Dedicated Relationship Manager assigned within 3 business days of eligibility</w:t>
      </w:r>
    </w:p>
    <w:p>
      <w:pPr>
        <w:pStyle w:val="ListParagraph"/>
        <w:numPr>
          <w:ilvl w:val="0"/>
          <w:numId w:val="2"/>
        </w:numPr>
        <w:spacing w:after="60" w:before="60"/>
      </w:pPr>
      <w:r>
        <w:rPr>
          <w:rFonts w:ascii="Arial" w:cs="Arial" w:eastAsia="Arial" w:hAnsi="Arial"/>
          <w:color w:val="1A1A2E"/>
          <w:sz w:val="22"/>
          <w:szCs w:val="22"/>
        </w:rPr>
        <w:t xml:space="preserve">Benefits: Unlimited free RTGS/NEFT, complimentary credit card, lounge access, insurance cover</w:t>
      </w:r>
    </w:p>
    <w:p>
      <w:pPr>
        <w:pStyle w:val="ListParagraph"/>
        <w:numPr>
          <w:ilvl w:val="0"/>
          <w:numId w:val="2"/>
        </w:numPr>
        <w:spacing w:after="60" w:before="60"/>
      </w:pPr>
      <w:r>
        <w:rPr>
          <w:rFonts w:ascii="Arial" w:cs="Arial" w:eastAsia="Arial" w:hAnsi="Arial"/>
          <w:color w:val="1A1A2E"/>
          <w:sz w:val="22"/>
          <w:szCs w:val="22"/>
        </w:rPr>
        <w:t xml:space="preserve">Demotion policy: If NRV falls below ₹8 lakhs for 2 consecutive quarters, moved to Premium tier</w:t>
      </w:r>
    </w:p>
    <w:p>
      <w:pPr>
        <w:spacing w:after="120" w:before="0"/>
      </w:pPr>
      <w:r>
        <w:t xml:space="preserve"/>
      </w:r>
    </w:p>
    <w:p>
      <w:pPr>
        <w:pStyle w:val="Heading2"/>
        <w:spacing w:after="160" w:before="280"/>
      </w:pPr>
      <w:r>
        <w:rPr>
          <w:rFonts w:ascii="Arial" w:cs="Arial" w:eastAsia="Arial" w:hAnsi="Arial"/>
          <w:b/>
          <w:bCs/>
          <w:color w:val="1F5C9E"/>
          <w:sz w:val="26"/>
          <w:szCs w:val="26"/>
        </w:rPr>
        <w:t xml:space="preserve">6.4 Fixed Deposit Eligibility</w:t>
      </w:r>
    </w:p>
    <w:p>
      <w:pPr>
        <w:pStyle w:val="ListParagraph"/>
        <w:numPr>
          <w:ilvl w:val="0"/>
          <w:numId w:val="2"/>
        </w:numPr>
        <w:spacing w:after="60" w:before="60"/>
      </w:pPr>
      <w:r>
        <w:rPr>
          <w:rFonts w:ascii="Arial" w:cs="Arial" w:eastAsia="Arial" w:hAnsi="Arial"/>
          <w:color w:val="1A1A2E"/>
          <w:sz w:val="22"/>
          <w:szCs w:val="22"/>
        </w:rPr>
        <w:t xml:space="preserve">Minimum deposit: ₹5,000</w:t>
      </w:r>
    </w:p>
    <w:p>
      <w:pPr>
        <w:pStyle w:val="ListParagraph"/>
        <w:numPr>
          <w:ilvl w:val="0"/>
          <w:numId w:val="2"/>
        </w:numPr>
        <w:spacing w:after="60" w:before="60"/>
      </w:pPr>
      <w:r>
        <w:rPr>
          <w:rFonts w:ascii="Arial" w:cs="Arial" w:eastAsia="Arial" w:hAnsi="Arial"/>
          <w:color w:val="1A1A2E"/>
          <w:sz w:val="22"/>
          <w:szCs w:val="22"/>
        </w:rPr>
        <w:t xml:space="preserve">Tenure: 7 days to 10 years</w:t>
      </w:r>
    </w:p>
    <w:p>
      <w:pPr>
        <w:pStyle w:val="ListParagraph"/>
        <w:numPr>
          <w:ilvl w:val="0"/>
          <w:numId w:val="2"/>
        </w:numPr>
        <w:spacing w:after="60" w:before="60"/>
      </w:pPr>
      <w:r>
        <w:rPr>
          <w:rFonts w:ascii="Arial" w:cs="Arial" w:eastAsia="Arial" w:hAnsi="Arial"/>
          <w:color w:val="1A1A2E"/>
          <w:sz w:val="22"/>
          <w:szCs w:val="22"/>
        </w:rPr>
        <w:t xml:space="preserve">Eligible depositors: Individuals, HUF, Companies, Trusts, Minors (joint with guardian)</w:t>
      </w:r>
    </w:p>
    <w:p>
      <w:pPr>
        <w:pStyle w:val="ListParagraph"/>
        <w:numPr>
          <w:ilvl w:val="0"/>
          <w:numId w:val="2"/>
        </w:numPr>
        <w:spacing w:after="60" w:before="60"/>
      </w:pPr>
      <w:r>
        <w:rPr>
          <w:rFonts w:ascii="Arial" w:cs="Arial" w:eastAsia="Arial" w:hAnsi="Arial"/>
          <w:color w:val="1A1A2E"/>
          <w:sz w:val="22"/>
          <w:szCs w:val="22"/>
        </w:rPr>
        <w:t xml:space="preserve">Tax Deducted at Source (TDS): Applicable if annual interest exceeds ₹40,000 (₹50,000 for senior citizens)</w:t>
      </w:r>
    </w:p>
    <w:p>
      <w:pPr>
        <w:spacing w:after="120" w:before="0"/>
      </w:pPr>
      <w:r>
        <w:t xml:space="preserve"/>
      </w:r>
    </w:p>
    <w:p>
      <w:pPr>
        <w:pStyle w:val="Heading2"/>
        <w:spacing w:after="160" w:before="280"/>
      </w:pPr>
      <w:r>
        <w:rPr>
          <w:rFonts w:ascii="Arial" w:cs="Arial" w:eastAsia="Arial" w:hAnsi="Arial"/>
          <w:b/>
          <w:bCs/>
          <w:color w:val="1F5C9E"/>
          <w:sz w:val="26"/>
          <w:szCs w:val="26"/>
        </w:rPr>
        <w:t xml:space="preserve">6.5 Personal Loan Eligibility</w:t>
      </w:r>
    </w:p>
    <w:p>
      <w:pPr>
        <w:pStyle w:val="ListParagraph"/>
        <w:numPr>
          <w:ilvl w:val="0"/>
          <w:numId w:val="2"/>
        </w:numPr>
        <w:spacing w:after="60" w:before="60"/>
      </w:pPr>
      <w:r>
        <w:rPr>
          <w:rFonts w:ascii="Arial" w:cs="Arial" w:eastAsia="Arial" w:hAnsi="Arial"/>
          <w:color w:val="1A1A2E"/>
          <w:sz w:val="22"/>
          <w:szCs w:val="22"/>
        </w:rPr>
        <w:t xml:space="preserve">Age: 23–60 years (salaried); 25–65 years (self-employed)</w:t>
      </w:r>
    </w:p>
    <w:p>
      <w:pPr>
        <w:pStyle w:val="ListParagraph"/>
        <w:numPr>
          <w:ilvl w:val="0"/>
          <w:numId w:val="2"/>
        </w:numPr>
        <w:spacing w:after="60" w:before="60"/>
      </w:pPr>
      <w:r>
        <w:rPr>
          <w:rFonts w:ascii="Arial" w:cs="Arial" w:eastAsia="Arial" w:hAnsi="Arial"/>
          <w:color w:val="1A1A2E"/>
          <w:sz w:val="22"/>
          <w:szCs w:val="22"/>
        </w:rPr>
        <w:t xml:space="preserve">Minimum monthly income: ₹25,000 (salaried); ₹3 lakhs per annum (self-employed)</w:t>
      </w:r>
    </w:p>
    <w:p>
      <w:pPr>
        <w:pStyle w:val="ListParagraph"/>
        <w:numPr>
          <w:ilvl w:val="0"/>
          <w:numId w:val="2"/>
        </w:numPr>
        <w:spacing w:after="60" w:before="60"/>
      </w:pPr>
      <w:r>
        <w:rPr>
          <w:rFonts w:ascii="Arial" w:cs="Arial" w:eastAsia="Arial" w:hAnsi="Arial"/>
          <w:color w:val="1A1A2E"/>
          <w:sz w:val="22"/>
          <w:szCs w:val="22"/>
        </w:rPr>
        <w:t xml:space="preserve">Minimum credit score: 700 (CIBIL)</w:t>
      </w:r>
    </w:p>
    <w:p>
      <w:pPr>
        <w:pStyle w:val="ListParagraph"/>
        <w:numPr>
          <w:ilvl w:val="0"/>
          <w:numId w:val="2"/>
        </w:numPr>
        <w:spacing w:after="60" w:before="60"/>
      </w:pPr>
      <w:r>
        <w:rPr>
          <w:rFonts w:ascii="Arial" w:cs="Arial" w:eastAsia="Arial" w:hAnsi="Arial"/>
          <w:color w:val="1A1A2E"/>
          <w:sz w:val="22"/>
          <w:szCs w:val="22"/>
        </w:rPr>
        <w:t xml:space="preserve">Employment: Minimum 2 years continuous employment or 3 years in business</w:t>
      </w:r>
    </w:p>
    <w:p>
      <w:pPr>
        <w:pStyle w:val="ListParagraph"/>
        <w:numPr>
          <w:ilvl w:val="0"/>
          <w:numId w:val="2"/>
        </w:numPr>
        <w:spacing w:after="60" w:before="60"/>
      </w:pPr>
      <w:r>
        <w:rPr>
          <w:rFonts w:ascii="Arial" w:cs="Arial" w:eastAsia="Arial" w:hAnsi="Arial"/>
          <w:color w:val="1A1A2E"/>
          <w:sz w:val="22"/>
          <w:szCs w:val="22"/>
        </w:rPr>
        <w:t xml:space="preserve">Loan amount: ₹50,000 to ₹25 lakhs</w:t>
      </w:r>
    </w:p>
    <w:p>
      <w:pPr>
        <w:spacing w:after="120" w:before="0"/>
      </w:pPr>
      <w:r>
        <w:t xml:space="preserve"/>
      </w:r>
    </w:p>
    <w:p>
      <w:pPr>
        <w:pStyle w:val="Heading2"/>
        <w:spacing w:after="160" w:before="280"/>
      </w:pPr>
      <w:r>
        <w:rPr>
          <w:rFonts w:ascii="Arial" w:cs="Arial" w:eastAsia="Arial" w:hAnsi="Arial"/>
          <w:b/>
          <w:bCs/>
          <w:color w:val="1F5C9E"/>
          <w:sz w:val="26"/>
          <w:szCs w:val="26"/>
        </w:rPr>
        <w:t xml:space="preserve">6.6 Home Loan Eligibility</w:t>
      </w:r>
    </w:p>
    <w:p>
      <w:pPr>
        <w:pStyle w:val="ListParagraph"/>
        <w:numPr>
          <w:ilvl w:val="0"/>
          <w:numId w:val="2"/>
        </w:numPr>
        <w:spacing w:after="60" w:before="60"/>
      </w:pPr>
      <w:r>
        <w:rPr>
          <w:rFonts w:ascii="Arial" w:cs="Arial" w:eastAsia="Arial" w:hAnsi="Arial"/>
          <w:color w:val="1A1A2E"/>
          <w:sz w:val="22"/>
          <w:szCs w:val="22"/>
        </w:rPr>
        <w:t xml:space="preserve">Age: 21–70 years (loan should be closed before 70)</w:t>
      </w:r>
    </w:p>
    <w:p>
      <w:pPr>
        <w:pStyle w:val="ListParagraph"/>
        <w:numPr>
          <w:ilvl w:val="0"/>
          <w:numId w:val="2"/>
        </w:numPr>
        <w:spacing w:after="60" w:before="60"/>
      </w:pPr>
      <w:r>
        <w:rPr>
          <w:rFonts w:ascii="Arial" w:cs="Arial" w:eastAsia="Arial" w:hAnsi="Arial"/>
          <w:color w:val="1A1A2E"/>
          <w:sz w:val="22"/>
          <w:szCs w:val="22"/>
        </w:rPr>
        <w:t xml:space="preserve">Minimum income: ₹30,000/month (salaried); ₹4 lakhs/year (self-employed)</w:t>
      </w:r>
    </w:p>
    <w:p>
      <w:pPr>
        <w:pStyle w:val="ListParagraph"/>
        <w:numPr>
          <w:ilvl w:val="0"/>
          <w:numId w:val="2"/>
        </w:numPr>
        <w:spacing w:after="60" w:before="60"/>
      </w:pPr>
      <w:r>
        <w:rPr>
          <w:rFonts w:ascii="Arial" w:cs="Arial" w:eastAsia="Arial" w:hAnsi="Arial"/>
          <w:color w:val="1A1A2E"/>
          <w:sz w:val="22"/>
          <w:szCs w:val="22"/>
        </w:rPr>
        <w:t xml:space="preserve">LTV (Loan-to-Value) ratio: Up to 90% for loans up to ₹30 lakhs; 80% above ₹30 lakhs</w:t>
      </w:r>
    </w:p>
    <w:p>
      <w:pPr>
        <w:pStyle w:val="ListParagraph"/>
        <w:numPr>
          <w:ilvl w:val="0"/>
          <w:numId w:val="2"/>
        </w:numPr>
        <w:spacing w:after="60" w:before="60"/>
      </w:pPr>
      <w:r>
        <w:rPr>
          <w:rFonts w:ascii="Arial" w:cs="Arial" w:eastAsia="Arial" w:hAnsi="Arial"/>
          <w:color w:val="1A1A2E"/>
          <w:sz w:val="22"/>
          <w:szCs w:val="22"/>
        </w:rPr>
        <w:t xml:space="preserve">Co-applicant allowed: Yes – improves eligibility significantly</w:t>
      </w:r>
    </w:p>
    <w:p>
      <w:pPr>
        <w:pStyle w:val="ListParagraph"/>
        <w:numPr>
          <w:ilvl w:val="0"/>
          <w:numId w:val="2"/>
        </w:numPr>
        <w:spacing w:after="60" w:before="60"/>
      </w:pPr>
      <w:r>
        <w:rPr>
          <w:rFonts w:ascii="Arial" w:cs="Arial" w:eastAsia="Arial" w:hAnsi="Arial"/>
          <w:color w:val="1A1A2E"/>
          <w:sz w:val="22"/>
          <w:szCs w:val="22"/>
        </w:rPr>
        <w:t xml:space="preserve">Credit score: Minimum 680 CIBIL</w:t>
      </w:r>
    </w:p>
    <w:p>
      <w:pPr>
        <w:spacing w:after="120" w:before="0"/>
      </w:pPr>
      <w:r>
        <w:t xml:space="preserve"/>
      </w:r>
    </w:p>
    <w:p>
      <w:pPr>
        <w:pStyle w:val="Heading2"/>
        <w:spacing w:after="160" w:before="280"/>
      </w:pPr>
      <w:r>
        <w:rPr>
          <w:rFonts w:ascii="Arial" w:cs="Arial" w:eastAsia="Arial" w:hAnsi="Arial"/>
          <w:b/>
          <w:bCs/>
          <w:color w:val="1F5C9E"/>
          <w:sz w:val="26"/>
          <w:szCs w:val="26"/>
        </w:rPr>
        <w:t xml:space="preserve">6.7 NRI Account Eligibility</w:t>
      </w:r>
    </w:p>
    <w:p>
      <w:pPr>
        <w:pStyle w:val="ListParagraph"/>
        <w:numPr>
          <w:ilvl w:val="0"/>
          <w:numId w:val="2"/>
        </w:numPr>
        <w:spacing w:after="60" w:before="60"/>
      </w:pPr>
      <w:r>
        <w:rPr>
          <w:rFonts w:ascii="Arial" w:cs="Arial" w:eastAsia="Arial" w:hAnsi="Arial"/>
          <w:color w:val="1A1A2E"/>
          <w:sz w:val="22"/>
          <w:szCs w:val="22"/>
        </w:rPr>
        <w:t xml:space="preserve">NRE Account: Repatriable; income from abroad; tax-free interest in India</w:t>
      </w:r>
    </w:p>
    <w:p>
      <w:pPr>
        <w:pStyle w:val="ListParagraph"/>
        <w:numPr>
          <w:ilvl w:val="0"/>
          <w:numId w:val="2"/>
        </w:numPr>
        <w:spacing w:after="60" w:before="60"/>
      </w:pPr>
      <w:r>
        <w:rPr>
          <w:rFonts w:ascii="Arial" w:cs="Arial" w:eastAsia="Arial" w:hAnsi="Arial"/>
          <w:color w:val="1A1A2E"/>
          <w:sz w:val="22"/>
          <w:szCs w:val="22"/>
        </w:rPr>
        <w:t xml:space="preserve">NRO Account: Non-repatriable (up to $1 million per year); Indian income credited</w:t>
      </w:r>
    </w:p>
    <w:p>
      <w:pPr>
        <w:pStyle w:val="ListParagraph"/>
        <w:numPr>
          <w:ilvl w:val="0"/>
          <w:numId w:val="2"/>
        </w:numPr>
        <w:spacing w:after="60" w:before="60"/>
      </w:pPr>
      <w:r>
        <w:rPr>
          <w:rFonts w:ascii="Arial" w:cs="Arial" w:eastAsia="Arial" w:hAnsi="Arial"/>
          <w:color w:val="1A1A2E"/>
          <w:sz w:val="22"/>
          <w:szCs w:val="22"/>
        </w:rPr>
        <w:t xml:space="preserve">FCNR Account: Maintained in foreign currency; available in USD, EUR, GBP, AUD, CAD, JPY</w:t>
      </w:r>
    </w:p>
    <w:p>
      <w:pPr>
        <w:pStyle w:val="ListParagraph"/>
        <w:numPr>
          <w:ilvl w:val="0"/>
          <w:numId w:val="2"/>
        </w:numPr>
        <w:spacing w:after="60" w:before="60"/>
      </w:pPr>
      <w:r>
        <w:rPr>
          <w:rFonts w:ascii="Arial" w:cs="Arial" w:eastAsia="Arial" w:hAnsi="Arial"/>
          <w:color w:val="1A1A2E"/>
          <w:sz w:val="22"/>
          <w:szCs w:val="22"/>
        </w:rPr>
        <w:t xml:space="preserve">Documents required: Valid Indian passport, foreign address proof, overseas bank statement, FEMA declaration</w:t>
      </w:r>
    </w:p>
    <w:p>
      <w:r>
        <w:br w:type="page"/>
      </w:r>
    </w:p>
    <w:p>
      <w:pPr>
        <w:pStyle w:val="Heading1"/>
        <w:spacing w:after="200" w:before="360"/>
      </w:pPr>
      <w:r>
        <w:rPr>
          <w:rFonts w:ascii="Arial" w:cs="Arial" w:eastAsia="Arial" w:hAnsi="Arial"/>
          <w:b/>
          <w:bCs/>
          <w:color w:val="003366"/>
          <w:sz w:val="32"/>
          <w:szCs w:val="32"/>
        </w:rPr>
        <w:t xml:space="preserve">7. Required Documents</w:t>
      </w:r>
    </w:p>
    <w:p>
      <w:pPr>
        <w:pStyle w:val="Heading2"/>
        <w:spacing w:after="160" w:before="280"/>
      </w:pPr>
      <w:r>
        <w:rPr>
          <w:rFonts w:ascii="Arial" w:cs="Arial" w:eastAsia="Arial" w:hAnsi="Arial"/>
          <w:b/>
          <w:bCs/>
          <w:color w:val="1F5C9E"/>
          <w:sz w:val="26"/>
          <w:szCs w:val="26"/>
        </w:rPr>
        <w:t xml:space="preserve">7.1 KYC Identity Documents (OVD – Officially Valid Documents)</w:t>
      </w:r>
    </w:p>
    <w:p>
      <w:pPr>
        <w:spacing w:after="80" w:before="80"/>
      </w:pPr>
      <w:r>
        <w:rPr>
          <w:rFonts w:ascii="Arial" w:cs="Arial" w:eastAsia="Arial" w:hAnsi="Arial"/>
          <w:color w:val="1A1A2E"/>
          <w:sz w:val="22"/>
          <w:szCs w:val="22"/>
        </w:rPr>
        <w:t xml:space="preserve">Any one of the following is accepted as proof of identity:</w:t>
      </w:r>
    </w:p>
    <w:p>
      <w:pPr>
        <w:pStyle w:val="ListParagraph"/>
        <w:numPr>
          <w:ilvl w:val="0"/>
          <w:numId w:val="2"/>
        </w:numPr>
        <w:spacing w:after="60" w:before="60"/>
      </w:pPr>
      <w:r>
        <w:rPr>
          <w:rFonts w:ascii="Arial" w:cs="Arial" w:eastAsia="Arial" w:hAnsi="Arial"/>
          <w:color w:val="1A1A2E"/>
          <w:sz w:val="22"/>
          <w:szCs w:val="22"/>
        </w:rPr>
        <w:t xml:space="preserve">Aadhaar Card (biometric or e-Aadhaar with masked number)</w:t>
      </w:r>
    </w:p>
    <w:p>
      <w:pPr>
        <w:pStyle w:val="ListParagraph"/>
        <w:numPr>
          <w:ilvl w:val="0"/>
          <w:numId w:val="2"/>
        </w:numPr>
        <w:spacing w:after="60" w:before="60"/>
      </w:pPr>
      <w:r>
        <w:rPr>
          <w:rFonts w:ascii="Arial" w:cs="Arial" w:eastAsia="Arial" w:hAnsi="Arial"/>
          <w:color w:val="1A1A2E"/>
          <w:sz w:val="22"/>
          <w:szCs w:val="22"/>
        </w:rPr>
        <w:t xml:space="preserve">Passport (valid, not expired)</w:t>
      </w:r>
    </w:p>
    <w:p>
      <w:pPr>
        <w:pStyle w:val="ListParagraph"/>
        <w:numPr>
          <w:ilvl w:val="0"/>
          <w:numId w:val="2"/>
        </w:numPr>
        <w:spacing w:after="60" w:before="60"/>
      </w:pPr>
      <w:r>
        <w:rPr>
          <w:rFonts w:ascii="Arial" w:cs="Arial" w:eastAsia="Arial" w:hAnsi="Arial"/>
          <w:color w:val="1A1A2E"/>
          <w:sz w:val="22"/>
          <w:szCs w:val="22"/>
        </w:rPr>
        <w:t xml:space="preserve">Driving Licence (valid)</w:t>
      </w:r>
    </w:p>
    <w:p>
      <w:pPr>
        <w:pStyle w:val="ListParagraph"/>
        <w:numPr>
          <w:ilvl w:val="0"/>
          <w:numId w:val="2"/>
        </w:numPr>
        <w:spacing w:after="60" w:before="60"/>
      </w:pPr>
      <w:r>
        <w:rPr>
          <w:rFonts w:ascii="Arial" w:cs="Arial" w:eastAsia="Arial" w:hAnsi="Arial"/>
          <w:color w:val="1A1A2E"/>
          <w:sz w:val="22"/>
          <w:szCs w:val="22"/>
        </w:rPr>
        <w:t xml:space="preserve">Voter ID Card (EPIC)</w:t>
      </w:r>
    </w:p>
    <w:p>
      <w:pPr>
        <w:pStyle w:val="ListParagraph"/>
        <w:numPr>
          <w:ilvl w:val="0"/>
          <w:numId w:val="2"/>
        </w:numPr>
        <w:spacing w:after="60" w:before="60"/>
      </w:pPr>
      <w:r>
        <w:rPr>
          <w:rFonts w:ascii="Arial" w:cs="Arial" w:eastAsia="Arial" w:hAnsi="Arial"/>
          <w:color w:val="1A1A2E"/>
          <w:sz w:val="22"/>
          <w:szCs w:val="22"/>
        </w:rPr>
        <w:t xml:space="preserve">NREGA Job Card (with photograph)</w:t>
      </w:r>
    </w:p>
    <w:p>
      <w:pPr>
        <w:pStyle w:val="ListParagraph"/>
        <w:numPr>
          <w:ilvl w:val="0"/>
          <w:numId w:val="2"/>
        </w:numPr>
        <w:spacing w:after="60" w:before="60"/>
      </w:pPr>
      <w:r>
        <w:rPr>
          <w:rFonts w:ascii="Arial" w:cs="Arial" w:eastAsia="Arial" w:hAnsi="Arial"/>
          <w:color w:val="1A1A2E"/>
          <w:sz w:val="22"/>
          <w:szCs w:val="22"/>
        </w:rPr>
        <w:t xml:space="preserve">National Population Register Letter with name and address</w:t>
      </w:r>
    </w:p>
    <w:p>
      <w:pPr>
        <w:spacing w:after="120" w:before="0"/>
      </w:pPr>
      <w:r>
        <w:t xml:space="preserve"/>
      </w:r>
    </w:p>
    <w:p>
      <w:pPr>
        <w:pStyle w:val="Heading2"/>
        <w:spacing w:after="160" w:before="280"/>
      </w:pPr>
      <w:r>
        <w:rPr>
          <w:rFonts w:ascii="Arial" w:cs="Arial" w:eastAsia="Arial" w:hAnsi="Arial"/>
          <w:b/>
          <w:bCs/>
          <w:color w:val="1F5C9E"/>
          <w:sz w:val="26"/>
          <w:szCs w:val="26"/>
        </w:rPr>
        <w:t xml:space="preserve">7.2 KYC Address Documents</w:t>
      </w:r>
    </w:p>
    <w:p>
      <w:pPr>
        <w:spacing w:after="80" w:before="80"/>
      </w:pPr>
      <w:r>
        <w:rPr>
          <w:rFonts w:ascii="Arial" w:cs="Arial" w:eastAsia="Arial" w:hAnsi="Arial"/>
          <w:color w:val="1A1A2E"/>
          <w:sz w:val="22"/>
          <w:szCs w:val="22"/>
        </w:rPr>
        <w:t xml:space="preserve">Any one of the following for address proof:</w:t>
      </w:r>
    </w:p>
    <w:p>
      <w:pPr>
        <w:pStyle w:val="ListParagraph"/>
        <w:numPr>
          <w:ilvl w:val="0"/>
          <w:numId w:val="2"/>
        </w:numPr>
        <w:spacing w:after="60" w:before="60"/>
      </w:pPr>
      <w:r>
        <w:rPr>
          <w:rFonts w:ascii="Arial" w:cs="Arial" w:eastAsia="Arial" w:hAnsi="Arial"/>
          <w:color w:val="1A1A2E"/>
          <w:sz w:val="22"/>
          <w:szCs w:val="22"/>
        </w:rPr>
        <w:t xml:space="preserve">Aadhaar Card (if address is current and active)</w:t>
      </w:r>
    </w:p>
    <w:p>
      <w:pPr>
        <w:pStyle w:val="ListParagraph"/>
        <w:numPr>
          <w:ilvl w:val="0"/>
          <w:numId w:val="2"/>
        </w:numPr>
        <w:spacing w:after="60" w:before="60"/>
      </w:pPr>
      <w:r>
        <w:rPr>
          <w:rFonts w:ascii="Arial" w:cs="Arial" w:eastAsia="Arial" w:hAnsi="Arial"/>
          <w:color w:val="1A1A2E"/>
          <w:sz w:val="22"/>
          <w:szCs w:val="22"/>
        </w:rPr>
        <w:t xml:space="preserve">Utility bill: electricity, gas, telephone (not older than 2 months)</w:t>
      </w:r>
    </w:p>
    <w:p>
      <w:pPr>
        <w:pStyle w:val="ListParagraph"/>
        <w:numPr>
          <w:ilvl w:val="0"/>
          <w:numId w:val="2"/>
        </w:numPr>
        <w:spacing w:after="60" w:before="60"/>
      </w:pPr>
      <w:r>
        <w:rPr>
          <w:rFonts w:ascii="Arial" w:cs="Arial" w:eastAsia="Arial" w:hAnsi="Arial"/>
          <w:color w:val="1A1A2E"/>
          <w:sz w:val="22"/>
          <w:szCs w:val="22"/>
        </w:rPr>
        <w:t xml:space="preserve">Bank account statement (not older than 3 months)</w:t>
      </w:r>
    </w:p>
    <w:p>
      <w:pPr>
        <w:pStyle w:val="ListParagraph"/>
        <w:numPr>
          <w:ilvl w:val="0"/>
          <w:numId w:val="2"/>
        </w:numPr>
        <w:spacing w:after="60" w:before="60"/>
      </w:pPr>
      <w:r>
        <w:rPr>
          <w:rFonts w:ascii="Arial" w:cs="Arial" w:eastAsia="Arial" w:hAnsi="Arial"/>
          <w:color w:val="1A1A2E"/>
          <w:sz w:val="22"/>
          <w:szCs w:val="22"/>
        </w:rPr>
        <w:t xml:space="preserve">Passport, Driving Licence, Voter ID (with current address)</w:t>
      </w:r>
    </w:p>
    <w:p>
      <w:pPr>
        <w:pStyle w:val="ListParagraph"/>
        <w:numPr>
          <w:ilvl w:val="0"/>
          <w:numId w:val="2"/>
        </w:numPr>
        <w:spacing w:after="60" w:before="60"/>
      </w:pPr>
      <w:r>
        <w:rPr>
          <w:rFonts w:ascii="Arial" w:cs="Arial" w:eastAsia="Arial" w:hAnsi="Arial"/>
          <w:color w:val="1A1A2E"/>
          <w:sz w:val="22"/>
          <w:szCs w:val="22"/>
        </w:rPr>
        <w:t xml:space="preserve">Property/Municipal Tax receipt</w:t>
      </w:r>
    </w:p>
    <w:p>
      <w:pPr>
        <w:pStyle w:val="ListParagraph"/>
        <w:numPr>
          <w:ilvl w:val="0"/>
          <w:numId w:val="2"/>
        </w:numPr>
        <w:spacing w:after="60" w:before="60"/>
      </w:pPr>
      <w:r>
        <w:rPr>
          <w:rFonts w:ascii="Arial" w:cs="Arial" w:eastAsia="Arial" w:hAnsi="Arial"/>
          <w:color w:val="1A1A2E"/>
          <w:sz w:val="22"/>
          <w:szCs w:val="22"/>
        </w:rPr>
        <w:t xml:space="preserve">Pension payment orders for retired government employees</w:t>
      </w:r>
    </w:p>
    <w:p>
      <w:pPr>
        <w:spacing w:after="120" w:before="0"/>
      </w:pPr>
      <w:r>
        <w:t xml:space="preserve"/>
      </w:r>
    </w:p>
    <w:p>
      <w:pPr>
        <w:pStyle w:val="Heading2"/>
        <w:spacing w:after="160" w:before="280"/>
      </w:pPr>
      <w:r>
        <w:rPr>
          <w:rFonts w:ascii="Arial" w:cs="Arial" w:eastAsia="Arial" w:hAnsi="Arial"/>
          <w:b/>
          <w:bCs/>
          <w:color w:val="1F5C9E"/>
          <w:sz w:val="26"/>
          <w:szCs w:val="26"/>
        </w:rPr>
        <w:t xml:space="preserve">7.3 Account Opening – Savings Account</w:t>
      </w:r>
    </w:p>
    <w:p>
      <w:pPr>
        <w:pStyle w:val="ListParagraph"/>
        <w:numPr>
          <w:ilvl w:val="0"/>
          <w:numId w:val="2"/>
        </w:numPr>
        <w:spacing w:after="60" w:before="60"/>
      </w:pPr>
      <w:r>
        <w:rPr>
          <w:rFonts w:ascii="Arial" w:cs="Arial" w:eastAsia="Arial" w:hAnsi="Arial"/>
          <w:color w:val="1A1A2E"/>
          <w:sz w:val="22"/>
          <w:szCs w:val="22"/>
        </w:rPr>
        <w:t xml:space="preserve">Completed Account Opening Form (AOF)</w:t>
      </w:r>
    </w:p>
    <w:p>
      <w:pPr>
        <w:pStyle w:val="ListParagraph"/>
        <w:numPr>
          <w:ilvl w:val="0"/>
          <w:numId w:val="2"/>
        </w:numPr>
        <w:spacing w:after="60" w:before="60"/>
      </w:pPr>
      <w:r>
        <w:rPr>
          <w:rFonts w:ascii="Arial" w:cs="Arial" w:eastAsia="Arial" w:hAnsi="Arial"/>
          <w:color w:val="1A1A2E"/>
          <w:sz w:val="22"/>
          <w:szCs w:val="22"/>
        </w:rPr>
        <w:t xml:space="preserve">One OVD for identity proof</w:t>
      </w:r>
    </w:p>
    <w:p>
      <w:pPr>
        <w:pStyle w:val="ListParagraph"/>
        <w:numPr>
          <w:ilvl w:val="0"/>
          <w:numId w:val="2"/>
        </w:numPr>
        <w:spacing w:after="60" w:before="60"/>
      </w:pPr>
      <w:r>
        <w:rPr>
          <w:rFonts w:ascii="Arial" w:cs="Arial" w:eastAsia="Arial" w:hAnsi="Arial"/>
          <w:color w:val="1A1A2E"/>
          <w:sz w:val="22"/>
          <w:szCs w:val="22"/>
        </w:rPr>
        <w:t xml:space="preserve">One OVD or utility bill for address proof</w:t>
      </w:r>
    </w:p>
    <w:p>
      <w:pPr>
        <w:pStyle w:val="ListParagraph"/>
        <w:numPr>
          <w:ilvl w:val="0"/>
          <w:numId w:val="2"/>
        </w:numPr>
        <w:spacing w:after="60" w:before="60"/>
      </w:pPr>
      <w:r>
        <w:rPr>
          <w:rFonts w:ascii="Arial" w:cs="Arial" w:eastAsia="Arial" w:hAnsi="Arial"/>
          <w:color w:val="1A1A2E"/>
          <w:sz w:val="22"/>
          <w:szCs w:val="22"/>
        </w:rPr>
        <w:t xml:space="preserve">PAN Card or Form 60 (if no PAN)</w:t>
      </w:r>
    </w:p>
    <w:p>
      <w:pPr>
        <w:pStyle w:val="ListParagraph"/>
        <w:numPr>
          <w:ilvl w:val="0"/>
          <w:numId w:val="2"/>
        </w:numPr>
        <w:spacing w:after="60" w:before="60"/>
      </w:pPr>
      <w:r>
        <w:rPr>
          <w:rFonts w:ascii="Arial" w:cs="Arial" w:eastAsia="Arial" w:hAnsi="Arial"/>
          <w:color w:val="1A1A2E"/>
          <w:sz w:val="22"/>
          <w:szCs w:val="22"/>
        </w:rPr>
        <w:t xml:space="preserve">One recent passport-size photograph (color, white background)</w:t>
      </w:r>
    </w:p>
    <w:p>
      <w:pPr>
        <w:pStyle w:val="ListParagraph"/>
        <w:numPr>
          <w:ilvl w:val="0"/>
          <w:numId w:val="2"/>
        </w:numPr>
        <w:spacing w:after="60" w:before="60"/>
      </w:pPr>
      <w:r>
        <w:rPr>
          <w:rFonts w:ascii="Arial" w:cs="Arial" w:eastAsia="Arial" w:hAnsi="Arial"/>
          <w:color w:val="1A1A2E"/>
          <w:sz w:val="22"/>
          <w:szCs w:val="22"/>
        </w:rPr>
        <w:t xml:space="preserve">Initial deposit amount (if applicable based on account type)</w:t>
      </w:r>
    </w:p>
    <w:p>
      <w:pPr>
        <w:spacing w:after="120" w:before="0"/>
      </w:pPr>
      <w:r>
        <w:t xml:space="preserve"/>
      </w:r>
    </w:p>
    <w:p>
      <w:pPr>
        <w:pStyle w:val="Heading2"/>
        <w:spacing w:after="160" w:before="280"/>
      </w:pPr>
      <w:r>
        <w:rPr>
          <w:rFonts w:ascii="Arial" w:cs="Arial" w:eastAsia="Arial" w:hAnsi="Arial"/>
          <w:b/>
          <w:bCs/>
          <w:color w:val="1F5C9E"/>
          <w:sz w:val="26"/>
          <w:szCs w:val="26"/>
        </w:rPr>
        <w:t xml:space="preserve">7.4 Loan Application Documents</w:t>
      </w:r>
    </w:p>
    <w:p>
      <w:pPr>
        <w:spacing w:after="80" w:before="80"/>
      </w:pPr>
      <w:r>
        <w:rPr>
          <w:rFonts w:ascii="Arial" w:cs="Arial" w:eastAsia="Arial" w:hAnsi="Arial"/>
          <w:color w:val="1A1A2E"/>
          <w:sz w:val="22"/>
          <w:szCs w:val="22"/>
        </w:rPr>
        <w:t xml:space="preserve">Salaried Individuals:</w:t>
      </w:r>
    </w:p>
    <w:p>
      <w:pPr>
        <w:pStyle w:val="ListParagraph"/>
        <w:numPr>
          <w:ilvl w:val="0"/>
          <w:numId w:val="2"/>
        </w:numPr>
        <w:spacing w:after="60" w:before="60"/>
      </w:pPr>
      <w:r>
        <w:rPr>
          <w:rFonts w:ascii="Arial" w:cs="Arial" w:eastAsia="Arial" w:hAnsi="Arial"/>
          <w:color w:val="1A1A2E"/>
          <w:sz w:val="22"/>
          <w:szCs w:val="22"/>
        </w:rPr>
        <w:t xml:space="preserve">Last 3 months' salary slips</w:t>
      </w:r>
    </w:p>
    <w:p>
      <w:pPr>
        <w:pStyle w:val="ListParagraph"/>
        <w:numPr>
          <w:ilvl w:val="0"/>
          <w:numId w:val="2"/>
        </w:numPr>
        <w:spacing w:after="60" w:before="60"/>
      </w:pPr>
      <w:r>
        <w:rPr>
          <w:rFonts w:ascii="Arial" w:cs="Arial" w:eastAsia="Arial" w:hAnsi="Arial"/>
          <w:color w:val="1A1A2E"/>
          <w:sz w:val="22"/>
          <w:szCs w:val="22"/>
        </w:rPr>
        <w:t xml:space="preserve">Last 6 months' bank statements</w:t>
      </w:r>
    </w:p>
    <w:p>
      <w:pPr>
        <w:pStyle w:val="ListParagraph"/>
        <w:numPr>
          <w:ilvl w:val="0"/>
          <w:numId w:val="2"/>
        </w:numPr>
        <w:spacing w:after="60" w:before="60"/>
      </w:pPr>
      <w:r>
        <w:rPr>
          <w:rFonts w:ascii="Arial" w:cs="Arial" w:eastAsia="Arial" w:hAnsi="Arial"/>
          <w:color w:val="1A1A2E"/>
          <w:sz w:val="22"/>
          <w:szCs w:val="22"/>
        </w:rPr>
        <w:t xml:space="preserve">Form 16 / ITR for last 2 years</w:t>
      </w:r>
    </w:p>
    <w:p>
      <w:pPr>
        <w:pStyle w:val="ListParagraph"/>
        <w:numPr>
          <w:ilvl w:val="0"/>
          <w:numId w:val="2"/>
        </w:numPr>
        <w:spacing w:after="60" w:before="60"/>
      </w:pPr>
      <w:r>
        <w:rPr>
          <w:rFonts w:ascii="Arial" w:cs="Arial" w:eastAsia="Arial" w:hAnsi="Arial"/>
          <w:color w:val="1A1A2E"/>
          <w:sz w:val="22"/>
          <w:szCs w:val="22"/>
        </w:rPr>
        <w:t xml:space="preserve">Employment identity proof (offer letter, employee ID)</w:t>
      </w:r>
    </w:p>
    <w:p>
      <w:pPr>
        <w:pStyle w:val="ListParagraph"/>
        <w:numPr>
          <w:ilvl w:val="0"/>
          <w:numId w:val="2"/>
        </w:numPr>
        <w:spacing w:after="60" w:before="60"/>
      </w:pPr>
      <w:r>
        <w:rPr>
          <w:rFonts w:ascii="Arial" w:cs="Arial" w:eastAsia="Arial" w:hAnsi="Arial"/>
          <w:color w:val="1A1A2E"/>
          <w:sz w:val="22"/>
          <w:szCs w:val="22"/>
        </w:rPr>
        <w:t xml:space="preserve">Identity and address proof (OVD)</w:t>
      </w:r>
    </w:p>
    <w:p>
      <w:pPr>
        <w:spacing w:after="120" w:before="0"/>
      </w:pPr>
      <w:r>
        <w:t xml:space="preserve"/>
      </w:r>
    </w:p>
    <w:p>
      <w:pPr>
        <w:spacing w:after="80" w:before="80"/>
      </w:pPr>
      <w:r>
        <w:rPr>
          <w:rFonts w:ascii="Arial" w:cs="Arial" w:eastAsia="Arial" w:hAnsi="Arial"/>
          <w:color w:val="1A1A2E"/>
          <w:sz w:val="22"/>
          <w:szCs w:val="22"/>
        </w:rPr>
        <w:t xml:space="preserve">Self-Employed Individuals/Business Owners:</w:t>
      </w:r>
    </w:p>
    <w:p>
      <w:pPr>
        <w:pStyle w:val="ListParagraph"/>
        <w:numPr>
          <w:ilvl w:val="0"/>
          <w:numId w:val="2"/>
        </w:numPr>
        <w:spacing w:after="60" w:before="60"/>
      </w:pPr>
      <w:r>
        <w:rPr>
          <w:rFonts w:ascii="Arial" w:cs="Arial" w:eastAsia="Arial" w:hAnsi="Arial"/>
          <w:color w:val="1A1A2E"/>
          <w:sz w:val="22"/>
          <w:szCs w:val="22"/>
        </w:rPr>
        <w:t xml:space="preserve">ITR with computation for last 3 years</w:t>
      </w:r>
    </w:p>
    <w:p>
      <w:pPr>
        <w:pStyle w:val="ListParagraph"/>
        <w:numPr>
          <w:ilvl w:val="0"/>
          <w:numId w:val="2"/>
        </w:numPr>
        <w:spacing w:after="60" w:before="60"/>
      </w:pPr>
      <w:r>
        <w:rPr>
          <w:rFonts w:ascii="Arial" w:cs="Arial" w:eastAsia="Arial" w:hAnsi="Arial"/>
          <w:color w:val="1A1A2E"/>
          <w:sz w:val="22"/>
          <w:szCs w:val="22"/>
        </w:rPr>
        <w:t xml:space="preserve">CA-certified profit and loss statement and balance sheet</w:t>
      </w:r>
    </w:p>
    <w:p>
      <w:pPr>
        <w:pStyle w:val="ListParagraph"/>
        <w:numPr>
          <w:ilvl w:val="0"/>
          <w:numId w:val="2"/>
        </w:numPr>
        <w:spacing w:after="60" w:before="60"/>
      </w:pPr>
      <w:r>
        <w:rPr>
          <w:rFonts w:ascii="Arial" w:cs="Arial" w:eastAsia="Arial" w:hAnsi="Arial"/>
          <w:color w:val="1A1A2E"/>
          <w:sz w:val="22"/>
          <w:szCs w:val="22"/>
        </w:rPr>
        <w:t xml:space="preserve">Business registration certificate (GST, MSME, Shop &amp; Establishment)</w:t>
      </w:r>
    </w:p>
    <w:p>
      <w:pPr>
        <w:pStyle w:val="ListParagraph"/>
        <w:numPr>
          <w:ilvl w:val="0"/>
          <w:numId w:val="2"/>
        </w:numPr>
        <w:spacing w:after="60" w:before="60"/>
      </w:pPr>
      <w:r>
        <w:rPr>
          <w:rFonts w:ascii="Arial" w:cs="Arial" w:eastAsia="Arial" w:hAnsi="Arial"/>
          <w:color w:val="1A1A2E"/>
          <w:sz w:val="22"/>
          <w:szCs w:val="22"/>
        </w:rPr>
        <w:t xml:space="preserve">Last 12 months' bank statements (business account)</w:t>
      </w:r>
    </w:p>
    <w:p>
      <w:pPr>
        <w:pStyle w:val="ListParagraph"/>
        <w:numPr>
          <w:ilvl w:val="0"/>
          <w:numId w:val="2"/>
        </w:numPr>
        <w:spacing w:after="60" w:before="60"/>
      </w:pPr>
      <w:r>
        <w:rPr>
          <w:rFonts w:ascii="Arial" w:cs="Arial" w:eastAsia="Arial" w:hAnsi="Arial"/>
          <w:color w:val="1A1A2E"/>
          <w:sz w:val="22"/>
          <w:szCs w:val="22"/>
        </w:rPr>
        <w:t xml:space="preserve">Office address proof (lease agreement or utility bill)</w:t>
      </w:r>
    </w:p>
    <w:p>
      <w:pPr>
        <w:spacing w:after="120" w:before="0"/>
      </w:pPr>
      <w:r>
        <w:t xml:space="preserve"/>
      </w:r>
    </w:p>
    <w:p>
      <w:pPr>
        <w:pStyle w:val="Heading2"/>
        <w:spacing w:after="160" w:before="280"/>
      </w:pPr>
      <w:r>
        <w:rPr>
          <w:rFonts w:ascii="Arial" w:cs="Arial" w:eastAsia="Arial" w:hAnsi="Arial"/>
          <w:b/>
          <w:bCs/>
          <w:color w:val="1F5C9E"/>
          <w:sz w:val="26"/>
          <w:szCs w:val="26"/>
        </w:rPr>
        <w:t xml:space="preserve">7.5 Account Closure Documents</w:t>
      </w:r>
    </w:p>
    <w:p>
      <w:pPr>
        <w:pStyle w:val="ListParagraph"/>
        <w:numPr>
          <w:ilvl w:val="0"/>
          <w:numId w:val="2"/>
        </w:numPr>
        <w:spacing w:after="60" w:before="60"/>
      </w:pPr>
      <w:r>
        <w:rPr>
          <w:rFonts w:ascii="Arial" w:cs="Arial" w:eastAsia="Arial" w:hAnsi="Arial"/>
          <w:color w:val="1A1A2E"/>
          <w:sz w:val="22"/>
          <w:szCs w:val="22"/>
        </w:rPr>
        <w:t xml:space="preserve">Written closure request letter (self-attested)</w:t>
      </w:r>
    </w:p>
    <w:p>
      <w:pPr>
        <w:pStyle w:val="ListParagraph"/>
        <w:numPr>
          <w:ilvl w:val="0"/>
          <w:numId w:val="2"/>
        </w:numPr>
        <w:spacing w:after="60" w:before="60"/>
      </w:pPr>
      <w:r>
        <w:rPr>
          <w:rFonts w:ascii="Arial" w:cs="Arial" w:eastAsia="Arial" w:hAnsi="Arial"/>
          <w:color w:val="1A1A2E"/>
          <w:sz w:val="22"/>
          <w:szCs w:val="22"/>
        </w:rPr>
        <w:t xml:space="preserve">Original debit card and cheque book to be surrendered</w:t>
      </w:r>
    </w:p>
    <w:p>
      <w:pPr>
        <w:pStyle w:val="ListParagraph"/>
        <w:numPr>
          <w:ilvl w:val="0"/>
          <w:numId w:val="2"/>
        </w:numPr>
        <w:spacing w:after="60" w:before="60"/>
      </w:pPr>
      <w:r>
        <w:rPr>
          <w:rFonts w:ascii="Arial" w:cs="Arial" w:eastAsia="Arial" w:hAnsi="Arial"/>
          <w:color w:val="1A1A2E"/>
          <w:sz w:val="22"/>
          <w:szCs w:val="22"/>
        </w:rPr>
        <w:t xml:space="preserve">Identity proof of account holder</w:t>
      </w:r>
    </w:p>
    <w:p>
      <w:pPr>
        <w:pStyle w:val="ListParagraph"/>
        <w:numPr>
          <w:ilvl w:val="0"/>
          <w:numId w:val="2"/>
        </w:numPr>
        <w:spacing w:after="60" w:before="60"/>
      </w:pPr>
      <w:r>
        <w:rPr>
          <w:rFonts w:ascii="Arial" w:cs="Arial" w:eastAsia="Arial" w:hAnsi="Arial"/>
          <w:color w:val="1A1A2E"/>
          <w:sz w:val="22"/>
          <w:szCs w:val="22"/>
        </w:rPr>
        <w:t xml:space="preserve">IFSC and account details of alternate bank for balance transfer</w:t>
      </w:r>
    </w:p>
    <w:p>
      <w:pPr>
        <w:pStyle w:val="ListParagraph"/>
        <w:numPr>
          <w:ilvl w:val="0"/>
          <w:numId w:val="2"/>
        </w:numPr>
        <w:spacing w:after="60" w:before="60"/>
      </w:pPr>
      <w:r>
        <w:rPr>
          <w:rFonts w:ascii="Arial" w:cs="Arial" w:eastAsia="Arial" w:hAnsi="Arial"/>
          <w:color w:val="1A1A2E"/>
          <w:sz w:val="22"/>
          <w:szCs w:val="22"/>
        </w:rPr>
        <w:t xml:space="preserve">For amounts above ₹50,000: physical visit to home branch mandatory</w:t>
      </w:r>
    </w:p>
    <w:p>
      <w:pPr>
        <w:spacing w:after="120" w:before="0"/>
      </w:pPr>
      <w:r>
        <w:t xml:space="preserve"/>
      </w:r>
    </w:p>
    <w:p>
      <w:pPr>
        <w:pStyle w:val="Heading2"/>
        <w:spacing w:after="160" w:before="280"/>
      </w:pPr>
      <w:r>
        <w:rPr>
          <w:rFonts w:ascii="Arial" w:cs="Arial" w:eastAsia="Arial" w:hAnsi="Arial"/>
          <w:b/>
          <w:bCs/>
          <w:color w:val="1F5C9E"/>
          <w:sz w:val="26"/>
          <w:szCs w:val="26"/>
        </w:rPr>
        <w:t xml:space="preserve">7.6 NRI Account Opening Documents</w:t>
      </w:r>
    </w:p>
    <w:p>
      <w:pPr>
        <w:pStyle w:val="ListParagraph"/>
        <w:numPr>
          <w:ilvl w:val="0"/>
          <w:numId w:val="2"/>
        </w:numPr>
        <w:spacing w:after="60" w:before="60"/>
      </w:pPr>
      <w:r>
        <w:rPr>
          <w:rFonts w:ascii="Arial" w:cs="Arial" w:eastAsia="Arial" w:hAnsi="Arial"/>
          <w:color w:val="1A1A2E"/>
          <w:sz w:val="22"/>
          <w:szCs w:val="22"/>
        </w:rPr>
        <w:t xml:space="preserve">Valid Indian passport (with current overseas address)</w:t>
      </w:r>
    </w:p>
    <w:p>
      <w:pPr>
        <w:pStyle w:val="ListParagraph"/>
        <w:numPr>
          <w:ilvl w:val="0"/>
          <w:numId w:val="2"/>
        </w:numPr>
        <w:spacing w:after="60" w:before="60"/>
      </w:pPr>
      <w:r>
        <w:rPr>
          <w:rFonts w:ascii="Arial" w:cs="Arial" w:eastAsia="Arial" w:hAnsi="Arial"/>
          <w:color w:val="1A1A2E"/>
          <w:sz w:val="22"/>
          <w:szCs w:val="22"/>
        </w:rPr>
        <w:t xml:space="preserve">Foreign address proof: overseas utility bill or bank statement</w:t>
      </w:r>
    </w:p>
    <w:p>
      <w:pPr>
        <w:pStyle w:val="ListParagraph"/>
        <w:numPr>
          <w:ilvl w:val="0"/>
          <w:numId w:val="2"/>
        </w:numPr>
        <w:spacing w:after="60" w:before="60"/>
      </w:pPr>
      <w:r>
        <w:rPr>
          <w:rFonts w:ascii="Arial" w:cs="Arial" w:eastAsia="Arial" w:hAnsi="Arial"/>
          <w:color w:val="1A1A2E"/>
          <w:sz w:val="22"/>
          <w:szCs w:val="22"/>
        </w:rPr>
        <w:t xml:space="preserve">Overseas employment proof or visa copy</w:t>
      </w:r>
    </w:p>
    <w:p>
      <w:pPr>
        <w:pStyle w:val="ListParagraph"/>
        <w:numPr>
          <w:ilvl w:val="0"/>
          <w:numId w:val="2"/>
        </w:numPr>
        <w:spacing w:after="60" w:before="60"/>
      </w:pPr>
      <w:r>
        <w:rPr>
          <w:rFonts w:ascii="Arial" w:cs="Arial" w:eastAsia="Arial" w:hAnsi="Arial"/>
          <w:color w:val="1A1A2E"/>
          <w:sz w:val="22"/>
          <w:szCs w:val="22"/>
        </w:rPr>
        <w:t xml:space="preserve">FEMA declaration form</w:t>
      </w:r>
    </w:p>
    <w:p>
      <w:pPr>
        <w:pStyle w:val="ListParagraph"/>
        <w:numPr>
          <w:ilvl w:val="0"/>
          <w:numId w:val="2"/>
        </w:numPr>
        <w:spacing w:after="60" w:before="60"/>
      </w:pPr>
      <w:r>
        <w:rPr>
          <w:rFonts w:ascii="Arial" w:cs="Arial" w:eastAsia="Arial" w:hAnsi="Arial"/>
          <w:color w:val="1A1A2E"/>
          <w:sz w:val="22"/>
          <w:szCs w:val="22"/>
        </w:rPr>
        <w:t xml:space="preserve">Completed NRI Account Opening Form</w:t>
      </w:r>
    </w:p>
    <w:p>
      <w:pPr>
        <w:pStyle w:val="ListParagraph"/>
        <w:numPr>
          <w:ilvl w:val="0"/>
          <w:numId w:val="2"/>
        </w:numPr>
        <w:spacing w:after="60" w:before="60"/>
      </w:pPr>
      <w:r>
        <w:rPr>
          <w:rFonts w:ascii="Arial" w:cs="Arial" w:eastAsia="Arial" w:hAnsi="Arial"/>
          <w:color w:val="1A1A2E"/>
          <w:sz w:val="22"/>
          <w:szCs w:val="22"/>
        </w:rPr>
        <w:t xml:space="preserve">Source of funds declaration for initial deposit</w:t>
      </w:r>
    </w:p>
    <w:p>
      <w:r>
        <w:br w:type="page"/>
      </w:r>
    </w:p>
    <w:p>
      <w:pPr>
        <w:pStyle w:val="Heading1"/>
        <w:spacing w:after="200" w:before="360"/>
      </w:pPr>
      <w:r>
        <w:rPr>
          <w:rFonts w:ascii="Arial" w:cs="Arial" w:eastAsia="Arial" w:hAnsi="Arial"/>
          <w:b/>
          <w:bCs/>
          <w:color w:val="003366"/>
          <w:sz w:val="32"/>
          <w:szCs w:val="32"/>
        </w:rPr>
        <w:t xml:space="preserve">8. Processing Workflows</w:t>
      </w:r>
    </w:p>
    <w:p>
      <w:pPr>
        <w:pStyle w:val="Heading2"/>
        <w:spacing w:after="160" w:before="280"/>
      </w:pPr>
      <w:r>
        <w:rPr>
          <w:rFonts w:ascii="Arial" w:cs="Arial" w:eastAsia="Arial" w:hAnsi="Arial"/>
          <w:b/>
          <w:bCs/>
          <w:color w:val="1F5C9E"/>
          <w:sz w:val="26"/>
          <w:szCs w:val="26"/>
        </w:rPr>
        <w:t xml:space="preserve">8.1 Inbound Call Workflow</w:t>
      </w:r>
    </w:p>
    <w:p>
      <w:pPr>
        <w:pStyle w:val="ListParagraph"/>
        <w:numPr>
          <w:ilvl w:val="0"/>
          <w:numId w:val="3"/>
        </w:numPr>
        <w:spacing w:after="60" w:before="60"/>
      </w:pPr>
      <w:r>
        <w:rPr>
          <w:rFonts w:ascii="Arial" w:cs="Arial" w:eastAsia="Arial" w:hAnsi="Arial"/>
          <w:color w:val="1A1A2E"/>
          <w:sz w:val="22"/>
          <w:szCs w:val="22"/>
        </w:rPr>
        <w:t xml:space="preserve">IVR system greets customer and offers menu options</w:t>
      </w:r>
    </w:p>
    <w:p>
      <w:pPr>
        <w:pStyle w:val="ListParagraph"/>
        <w:numPr>
          <w:ilvl w:val="0"/>
          <w:numId w:val="3"/>
        </w:numPr>
        <w:spacing w:after="60" w:before="60"/>
      </w:pPr>
      <w:r>
        <w:rPr>
          <w:rFonts w:ascii="Arial" w:cs="Arial" w:eastAsia="Arial" w:hAnsi="Arial"/>
          <w:color w:val="1A1A2E"/>
          <w:sz w:val="22"/>
          <w:szCs w:val="22"/>
        </w:rPr>
        <w:t xml:space="preserve">Customer selects option or requests human agent</w:t>
      </w:r>
    </w:p>
    <w:p>
      <w:pPr>
        <w:pStyle w:val="ListParagraph"/>
        <w:numPr>
          <w:ilvl w:val="0"/>
          <w:numId w:val="3"/>
        </w:numPr>
        <w:spacing w:after="60" w:before="60"/>
      </w:pPr>
      <w:r>
        <w:rPr>
          <w:rFonts w:ascii="Arial" w:cs="Arial" w:eastAsia="Arial" w:hAnsi="Arial"/>
          <w:color w:val="1A1A2E"/>
          <w:sz w:val="22"/>
          <w:szCs w:val="22"/>
        </w:rPr>
        <w:t xml:space="preserve">Call routed to available CSR based on ACD (Automatic Call Distribution) algorithm</w:t>
      </w:r>
    </w:p>
    <w:p>
      <w:pPr>
        <w:pStyle w:val="ListParagraph"/>
        <w:numPr>
          <w:ilvl w:val="0"/>
          <w:numId w:val="3"/>
        </w:numPr>
        <w:spacing w:after="60" w:before="60"/>
      </w:pPr>
      <w:r>
        <w:rPr>
          <w:rFonts w:ascii="Arial" w:cs="Arial" w:eastAsia="Arial" w:hAnsi="Arial"/>
          <w:color w:val="1A1A2E"/>
          <w:sz w:val="22"/>
          <w:szCs w:val="22"/>
        </w:rPr>
        <w:t xml:space="preserve">CSR greets customer and begins authentication (SOP 3.1)</w:t>
      </w:r>
    </w:p>
    <w:p>
      <w:pPr>
        <w:pStyle w:val="ListParagraph"/>
        <w:numPr>
          <w:ilvl w:val="0"/>
          <w:numId w:val="3"/>
        </w:numPr>
        <w:spacing w:after="60" w:before="60"/>
      </w:pPr>
      <w:r>
        <w:rPr>
          <w:rFonts w:ascii="Arial" w:cs="Arial" w:eastAsia="Arial" w:hAnsi="Arial"/>
          <w:color w:val="1A1A2E"/>
          <w:sz w:val="22"/>
          <w:szCs w:val="22"/>
        </w:rPr>
        <w:t xml:space="preserve">Query identified and classified in CRM (Category → Sub-category → Issue Type)</w:t>
      </w:r>
    </w:p>
    <w:p>
      <w:pPr>
        <w:pStyle w:val="ListParagraph"/>
        <w:numPr>
          <w:ilvl w:val="0"/>
          <w:numId w:val="3"/>
        </w:numPr>
        <w:spacing w:after="60" w:before="60"/>
      </w:pPr>
      <w:r>
        <w:rPr>
          <w:rFonts w:ascii="Arial" w:cs="Arial" w:eastAsia="Arial" w:hAnsi="Arial"/>
          <w:color w:val="1A1A2E"/>
          <w:sz w:val="22"/>
          <w:szCs w:val="22"/>
        </w:rPr>
        <w:t xml:space="preserve">CSR resolves query at Level 1 or escalates within same call</w:t>
      </w:r>
    </w:p>
    <w:p>
      <w:pPr>
        <w:pStyle w:val="ListParagraph"/>
        <w:numPr>
          <w:ilvl w:val="0"/>
          <w:numId w:val="3"/>
        </w:numPr>
        <w:spacing w:after="60" w:before="60"/>
      </w:pPr>
      <w:r>
        <w:rPr>
          <w:rFonts w:ascii="Arial" w:cs="Arial" w:eastAsia="Arial" w:hAnsi="Arial"/>
          <w:color w:val="1A1A2E"/>
          <w:sz w:val="22"/>
          <w:szCs w:val="22"/>
        </w:rPr>
        <w:t xml:space="preserve">Resolution confirmed with customer; reference number provided</w:t>
      </w:r>
    </w:p>
    <w:p>
      <w:pPr>
        <w:pStyle w:val="ListParagraph"/>
        <w:numPr>
          <w:ilvl w:val="0"/>
          <w:numId w:val="3"/>
        </w:numPr>
        <w:spacing w:after="60" w:before="60"/>
      </w:pPr>
      <w:r>
        <w:rPr>
          <w:rFonts w:ascii="Arial" w:cs="Arial" w:eastAsia="Arial" w:hAnsi="Arial"/>
          <w:color w:val="1A1A2E"/>
          <w:sz w:val="22"/>
          <w:szCs w:val="22"/>
        </w:rPr>
        <w:t xml:space="preserve">Post-call wrap-up: CRM update within 5 minutes, callback scheduled if needed</w:t>
      </w:r>
    </w:p>
    <w:p>
      <w:pPr>
        <w:pStyle w:val="ListParagraph"/>
        <w:numPr>
          <w:ilvl w:val="0"/>
          <w:numId w:val="3"/>
        </w:numPr>
        <w:spacing w:after="60" w:before="60"/>
      </w:pPr>
      <w:r>
        <w:rPr>
          <w:rFonts w:ascii="Arial" w:cs="Arial" w:eastAsia="Arial" w:hAnsi="Arial"/>
          <w:color w:val="1A1A2E"/>
          <w:sz w:val="22"/>
          <w:szCs w:val="22"/>
        </w:rPr>
        <w:t xml:space="preserve">Customer receives SMS/email confirmation of interaction</w:t>
      </w:r>
    </w:p>
    <w:p>
      <w:pPr>
        <w:spacing w:after="120" w:before="0"/>
      </w:pPr>
      <w:r>
        <w:t xml:space="preserve"/>
      </w:r>
    </w:p>
    <w:p>
      <w:pPr>
        <w:pStyle w:val="Heading2"/>
        <w:spacing w:after="160" w:before="280"/>
      </w:pPr>
      <w:r>
        <w:rPr>
          <w:rFonts w:ascii="Arial" w:cs="Arial" w:eastAsia="Arial" w:hAnsi="Arial"/>
          <w:b/>
          <w:bCs/>
          <w:color w:val="1F5C9E"/>
          <w:sz w:val="26"/>
          <w:szCs w:val="26"/>
        </w:rPr>
        <w:t xml:space="preserve">8.2 Digital Complaint Workflow</w:t>
      </w:r>
    </w:p>
    <w:p>
      <w:pPr>
        <w:pStyle w:val="ListParagraph"/>
        <w:numPr>
          <w:ilvl w:val="0"/>
          <w:numId w:val="3"/>
        </w:numPr>
        <w:spacing w:after="60" w:before="60"/>
      </w:pPr>
      <w:r>
        <w:rPr>
          <w:rFonts w:ascii="Arial" w:cs="Arial" w:eastAsia="Arial" w:hAnsi="Arial"/>
          <w:color w:val="1A1A2E"/>
          <w:sz w:val="22"/>
          <w:szCs w:val="22"/>
        </w:rPr>
        <w:t xml:space="preserve">Customer submits complaint via FutureTrust website, app, or email</w:t>
      </w:r>
    </w:p>
    <w:p>
      <w:pPr>
        <w:pStyle w:val="ListParagraph"/>
        <w:numPr>
          <w:ilvl w:val="0"/>
          <w:numId w:val="3"/>
        </w:numPr>
        <w:spacing w:after="60" w:before="60"/>
      </w:pPr>
      <w:r>
        <w:rPr>
          <w:rFonts w:ascii="Arial" w:cs="Arial" w:eastAsia="Arial" w:hAnsi="Arial"/>
          <w:color w:val="1A1A2E"/>
          <w:sz w:val="22"/>
          <w:szCs w:val="22"/>
        </w:rPr>
        <w:t xml:space="preserve">Auto-acknowledgment sent within 1 hour with Ticket Number</w:t>
      </w:r>
    </w:p>
    <w:p>
      <w:pPr>
        <w:pStyle w:val="ListParagraph"/>
        <w:numPr>
          <w:ilvl w:val="0"/>
          <w:numId w:val="3"/>
        </w:numPr>
        <w:spacing w:after="60" w:before="60"/>
      </w:pPr>
      <w:r>
        <w:rPr>
          <w:rFonts w:ascii="Arial" w:cs="Arial" w:eastAsia="Arial" w:hAnsi="Arial"/>
          <w:color w:val="1A1A2E"/>
          <w:sz w:val="22"/>
          <w:szCs w:val="22"/>
        </w:rPr>
        <w:t xml:space="preserve">Complaint categorized and routed to appropriate team in CRM</w:t>
      </w:r>
    </w:p>
    <w:p>
      <w:pPr>
        <w:pStyle w:val="ListParagraph"/>
        <w:numPr>
          <w:ilvl w:val="0"/>
          <w:numId w:val="3"/>
        </w:numPr>
        <w:spacing w:after="60" w:before="60"/>
      </w:pPr>
      <w:r>
        <w:rPr>
          <w:rFonts w:ascii="Arial" w:cs="Arial" w:eastAsia="Arial" w:hAnsi="Arial"/>
          <w:color w:val="1A1A2E"/>
          <w:sz w:val="22"/>
          <w:szCs w:val="22"/>
        </w:rPr>
        <w:t xml:space="preserve">Assigned CSR contacts customer within 4 hours (business hours)</w:t>
      </w:r>
    </w:p>
    <w:p>
      <w:pPr>
        <w:pStyle w:val="ListParagraph"/>
        <w:numPr>
          <w:ilvl w:val="0"/>
          <w:numId w:val="3"/>
        </w:numPr>
        <w:spacing w:after="60" w:before="60"/>
      </w:pPr>
      <w:r>
        <w:rPr>
          <w:rFonts w:ascii="Arial" w:cs="Arial" w:eastAsia="Arial" w:hAnsi="Arial"/>
          <w:color w:val="1A1A2E"/>
          <w:sz w:val="22"/>
          <w:szCs w:val="22"/>
        </w:rPr>
        <w:t xml:space="preserve">Resolution attempted; if unresolved, escalated to CRO within 24 hours</w:t>
      </w:r>
    </w:p>
    <w:p>
      <w:pPr>
        <w:pStyle w:val="ListParagraph"/>
        <w:numPr>
          <w:ilvl w:val="0"/>
          <w:numId w:val="3"/>
        </w:numPr>
        <w:spacing w:after="60" w:before="60"/>
      </w:pPr>
      <w:r>
        <w:rPr>
          <w:rFonts w:ascii="Arial" w:cs="Arial" w:eastAsia="Arial" w:hAnsi="Arial"/>
          <w:color w:val="1A1A2E"/>
          <w:sz w:val="22"/>
          <w:szCs w:val="22"/>
        </w:rPr>
        <w:t xml:space="preserve">Final resolution communicated to customer within SLA timeline</w:t>
      </w:r>
    </w:p>
    <w:p>
      <w:pPr>
        <w:pStyle w:val="ListParagraph"/>
        <w:numPr>
          <w:ilvl w:val="0"/>
          <w:numId w:val="3"/>
        </w:numPr>
        <w:spacing w:after="60" w:before="60"/>
      </w:pPr>
      <w:r>
        <w:rPr>
          <w:rFonts w:ascii="Arial" w:cs="Arial" w:eastAsia="Arial" w:hAnsi="Arial"/>
          <w:color w:val="1A1A2E"/>
          <w:sz w:val="22"/>
          <w:szCs w:val="22"/>
        </w:rPr>
        <w:t xml:space="preserve">Ticket closed; CSAT survey sent automatically via SMS and email</w:t>
      </w:r>
    </w:p>
    <w:p>
      <w:pPr>
        <w:spacing w:after="120" w:before="0"/>
      </w:pPr>
      <w:r>
        <w:t xml:space="preserve"/>
      </w:r>
    </w:p>
    <w:p>
      <w:pPr>
        <w:pStyle w:val="Heading2"/>
        <w:spacing w:after="160" w:before="280"/>
      </w:pPr>
      <w:r>
        <w:rPr>
          <w:rFonts w:ascii="Arial" w:cs="Arial" w:eastAsia="Arial" w:hAnsi="Arial"/>
          <w:b/>
          <w:bCs/>
          <w:color w:val="1F5C9E"/>
          <w:sz w:val="26"/>
          <w:szCs w:val="26"/>
        </w:rPr>
        <w:t xml:space="preserve">8.3 Card Blocking Workflow</w:t>
      </w:r>
    </w:p>
    <w:p>
      <w:pPr>
        <w:pStyle w:val="ListParagraph"/>
        <w:numPr>
          <w:ilvl w:val="0"/>
          <w:numId w:val="3"/>
        </w:numPr>
        <w:spacing w:after="60" w:before="60"/>
      </w:pPr>
      <w:r>
        <w:rPr>
          <w:rFonts w:ascii="Arial" w:cs="Arial" w:eastAsia="Arial" w:hAnsi="Arial"/>
          <w:color w:val="1A1A2E"/>
          <w:sz w:val="22"/>
          <w:szCs w:val="22"/>
        </w:rPr>
        <w:t xml:space="preserve">Customer reports lost/stolen card or unauthorized transaction</w:t>
      </w:r>
    </w:p>
    <w:p>
      <w:pPr>
        <w:pStyle w:val="ListParagraph"/>
        <w:numPr>
          <w:ilvl w:val="0"/>
          <w:numId w:val="3"/>
        </w:numPr>
        <w:spacing w:after="60" w:before="60"/>
      </w:pPr>
      <w:r>
        <w:rPr>
          <w:rFonts w:ascii="Arial" w:cs="Arial" w:eastAsia="Arial" w:hAnsi="Arial"/>
          <w:color w:val="1A1A2E"/>
          <w:sz w:val="22"/>
          <w:szCs w:val="22"/>
        </w:rPr>
        <w:t xml:space="preserve">CSR authenticates customer identity (enhanced protocol – dual verification)</w:t>
      </w:r>
    </w:p>
    <w:p>
      <w:pPr>
        <w:pStyle w:val="ListParagraph"/>
        <w:numPr>
          <w:ilvl w:val="0"/>
          <w:numId w:val="3"/>
        </w:numPr>
        <w:spacing w:after="60" w:before="60"/>
      </w:pPr>
      <w:r>
        <w:rPr>
          <w:rFonts w:ascii="Arial" w:cs="Arial" w:eastAsia="Arial" w:hAnsi="Arial"/>
          <w:color w:val="1A1A2E"/>
          <w:sz w:val="22"/>
          <w:szCs w:val="22"/>
        </w:rPr>
        <w:t xml:space="preserve">CSR executes emergency card block in CBS within 60 seconds of authentication</w:t>
      </w:r>
    </w:p>
    <w:p>
      <w:pPr>
        <w:pStyle w:val="ListParagraph"/>
        <w:numPr>
          <w:ilvl w:val="0"/>
          <w:numId w:val="3"/>
        </w:numPr>
        <w:spacing w:after="60" w:before="60"/>
      </w:pPr>
      <w:r>
        <w:rPr>
          <w:rFonts w:ascii="Arial" w:cs="Arial" w:eastAsia="Arial" w:hAnsi="Arial"/>
          <w:color w:val="1A1A2E"/>
          <w:sz w:val="22"/>
          <w:szCs w:val="22"/>
        </w:rPr>
        <w:t xml:space="preserve">Block confirmation sent to customer via registered mobile number</w:t>
      </w:r>
    </w:p>
    <w:p>
      <w:pPr>
        <w:pStyle w:val="ListParagraph"/>
        <w:numPr>
          <w:ilvl w:val="0"/>
          <w:numId w:val="3"/>
        </w:numPr>
        <w:spacing w:after="60" w:before="60"/>
      </w:pPr>
      <w:r>
        <w:rPr>
          <w:rFonts w:ascii="Arial" w:cs="Arial" w:eastAsia="Arial" w:hAnsi="Arial"/>
          <w:color w:val="1A1A2E"/>
          <w:sz w:val="22"/>
          <w:szCs w:val="22"/>
        </w:rPr>
        <w:t xml:space="preserve">If fraud suspected, raise FIT (Fraud Investigation Team) ticket</w:t>
      </w:r>
    </w:p>
    <w:p>
      <w:pPr>
        <w:pStyle w:val="ListParagraph"/>
        <w:numPr>
          <w:ilvl w:val="0"/>
          <w:numId w:val="3"/>
        </w:numPr>
        <w:spacing w:after="60" w:before="60"/>
      </w:pPr>
      <w:r>
        <w:rPr>
          <w:rFonts w:ascii="Arial" w:cs="Arial" w:eastAsia="Arial" w:hAnsi="Arial"/>
          <w:color w:val="1A1A2E"/>
          <w:sz w:val="22"/>
          <w:szCs w:val="22"/>
        </w:rPr>
        <w:t xml:space="preserve">CSR initiates card replacement process</w:t>
      </w:r>
    </w:p>
    <w:p>
      <w:pPr>
        <w:pStyle w:val="ListParagraph"/>
        <w:numPr>
          <w:ilvl w:val="0"/>
          <w:numId w:val="3"/>
        </w:numPr>
        <w:spacing w:after="60" w:before="60"/>
      </w:pPr>
      <w:r>
        <w:rPr>
          <w:rFonts w:ascii="Arial" w:cs="Arial" w:eastAsia="Arial" w:hAnsi="Arial"/>
          <w:color w:val="1A1A2E"/>
          <w:sz w:val="22"/>
          <w:szCs w:val="22"/>
        </w:rPr>
        <w:t xml:space="preserve">Provisional credit (if applicable) processed within 24 hours</w:t>
      </w:r>
    </w:p>
    <w:p>
      <w:pPr>
        <w:pStyle w:val="ListParagraph"/>
        <w:numPr>
          <w:ilvl w:val="0"/>
          <w:numId w:val="3"/>
        </w:numPr>
        <w:spacing w:after="60" w:before="60"/>
      </w:pPr>
      <w:r>
        <w:rPr>
          <w:rFonts w:ascii="Arial" w:cs="Arial" w:eastAsia="Arial" w:hAnsi="Arial"/>
          <w:color w:val="1A1A2E"/>
          <w:sz w:val="22"/>
          <w:szCs w:val="22"/>
        </w:rPr>
        <w:t xml:space="preserve">New card dispatched; expected delivery timeline communicated</w:t>
      </w:r>
    </w:p>
    <w:p>
      <w:pPr>
        <w:spacing w:after="120" w:before="0"/>
      </w:pPr>
      <w:r>
        <w:t xml:space="preserve"/>
      </w:r>
    </w:p>
    <w:p>
      <w:pPr>
        <w:pStyle w:val="Heading2"/>
        <w:spacing w:after="160" w:before="280"/>
      </w:pPr>
      <w:r>
        <w:rPr>
          <w:rFonts w:ascii="Arial" w:cs="Arial" w:eastAsia="Arial" w:hAnsi="Arial"/>
          <w:b/>
          <w:bCs/>
          <w:color w:val="1F5C9E"/>
          <w:sz w:val="26"/>
          <w:szCs w:val="26"/>
        </w:rPr>
        <w:t xml:space="preserve">8.4 KYC Update Workflow (Branch)</w:t>
      </w:r>
    </w:p>
    <w:p>
      <w:pPr>
        <w:pStyle w:val="ListParagraph"/>
        <w:numPr>
          <w:ilvl w:val="0"/>
          <w:numId w:val="3"/>
        </w:numPr>
        <w:spacing w:after="60" w:before="60"/>
      </w:pPr>
      <w:r>
        <w:rPr>
          <w:rFonts w:ascii="Arial" w:cs="Arial" w:eastAsia="Arial" w:hAnsi="Arial"/>
          <w:color w:val="1A1A2E"/>
          <w:sz w:val="22"/>
          <w:szCs w:val="22"/>
        </w:rPr>
        <w:t xml:space="preserve">Customer visits branch with original documents</w:t>
      </w:r>
    </w:p>
    <w:p>
      <w:pPr>
        <w:pStyle w:val="ListParagraph"/>
        <w:numPr>
          <w:ilvl w:val="0"/>
          <w:numId w:val="3"/>
        </w:numPr>
        <w:spacing w:after="60" w:before="60"/>
      </w:pPr>
      <w:r>
        <w:rPr>
          <w:rFonts w:ascii="Arial" w:cs="Arial" w:eastAsia="Arial" w:hAnsi="Arial"/>
          <w:color w:val="1A1A2E"/>
          <w:sz w:val="22"/>
          <w:szCs w:val="22"/>
        </w:rPr>
        <w:t xml:space="preserve">Branch relationship officer authenticates customer and validates documents</w:t>
      </w:r>
    </w:p>
    <w:p>
      <w:pPr>
        <w:pStyle w:val="ListParagraph"/>
        <w:numPr>
          <w:ilvl w:val="0"/>
          <w:numId w:val="3"/>
        </w:numPr>
        <w:spacing w:after="60" w:before="60"/>
      </w:pPr>
      <w:r>
        <w:rPr>
          <w:rFonts w:ascii="Arial" w:cs="Arial" w:eastAsia="Arial" w:hAnsi="Arial"/>
          <w:color w:val="1A1A2E"/>
          <w:sz w:val="22"/>
          <w:szCs w:val="22"/>
        </w:rPr>
        <w:t xml:space="preserve">KYC form completed; documents scanned and uploaded to DMS</w:t>
      </w:r>
    </w:p>
    <w:p>
      <w:pPr>
        <w:pStyle w:val="ListParagraph"/>
        <w:numPr>
          <w:ilvl w:val="0"/>
          <w:numId w:val="3"/>
        </w:numPr>
        <w:spacing w:after="60" w:before="60"/>
      </w:pPr>
      <w:r>
        <w:rPr>
          <w:rFonts w:ascii="Arial" w:cs="Arial" w:eastAsia="Arial" w:hAnsi="Arial"/>
          <w:color w:val="1A1A2E"/>
          <w:sz w:val="22"/>
          <w:szCs w:val="22"/>
        </w:rPr>
        <w:t xml:space="preserve">CBS updated with KYC status and document reference numbers</w:t>
      </w:r>
    </w:p>
    <w:p>
      <w:pPr>
        <w:pStyle w:val="ListParagraph"/>
        <w:numPr>
          <w:ilvl w:val="0"/>
          <w:numId w:val="3"/>
        </w:numPr>
        <w:spacing w:after="60" w:before="60"/>
      </w:pPr>
      <w:r>
        <w:rPr>
          <w:rFonts w:ascii="Arial" w:cs="Arial" w:eastAsia="Arial" w:hAnsi="Arial"/>
          <w:color w:val="1A1A2E"/>
          <w:sz w:val="22"/>
          <w:szCs w:val="22"/>
        </w:rPr>
        <w:t xml:space="preserve">Account freeze (if any) lifted within 1 working hour of successful upload</w:t>
      </w:r>
    </w:p>
    <w:p>
      <w:pPr>
        <w:pStyle w:val="ListParagraph"/>
        <w:numPr>
          <w:ilvl w:val="0"/>
          <w:numId w:val="3"/>
        </w:numPr>
        <w:spacing w:after="60" w:before="60"/>
      </w:pPr>
      <w:r>
        <w:rPr>
          <w:rFonts w:ascii="Arial" w:cs="Arial" w:eastAsia="Arial" w:hAnsi="Arial"/>
          <w:color w:val="1A1A2E"/>
          <w:sz w:val="22"/>
          <w:szCs w:val="22"/>
        </w:rPr>
        <w:t xml:space="preserve">Acknowledgment receipt issued to customer</w:t>
      </w:r>
    </w:p>
    <w:p>
      <w:pPr>
        <w:pStyle w:val="ListParagraph"/>
        <w:numPr>
          <w:ilvl w:val="0"/>
          <w:numId w:val="3"/>
        </w:numPr>
        <w:spacing w:after="60" w:before="60"/>
      </w:pPr>
      <w:r>
        <w:rPr>
          <w:rFonts w:ascii="Arial" w:cs="Arial" w:eastAsia="Arial" w:hAnsi="Arial"/>
          <w:color w:val="1A1A2E"/>
          <w:sz w:val="22"/>
          <w:szCs w:val="22"/>
        </w:rPr>
        <w:t xml:space="preserve">CSD informed if account was previously flagged – ticket auto-closed</w:t>
      </w:r>
    </w:p>
    <w:p>
      <w:pPr>
        <w:spacing w:after="120" w:before="0"/>
      </w:pPr>
      <w:r>
        <w:t xml:space="preserve"/>
      </w:r>
    </w:p>
    <w:p>
      <w:pPr>
        <w:pStyle w:val="Heading2"/>
        <w:spacing w:after="160" w:before="280"/>
      </w:pPr>
      <w:r>
        <w:rPr>
          <w:rFonts w:ascii="Arial" w:cs="Arial" w:eastAsia="Arial" w:hAnsi="Arial"/>
          <w:b/>
          <w:bCs/>
          <w:color w:val="1F5C9E"/>
          <w:sz w:val="26"/>
          <w:szCs w:val="26"/>
        </w:rPr>
        <w:t xml:space="preserve">8.5 RTGS / NEFT Transaction Query Workflow</w:t>
      </w:r>
    </w:p>
    <w:p>
      <w:pPr>
        <w:pStyle w:val="ListParagraph"/>
        <w:numPr>
          <w:ilvl w:val="0"/>
          <w:numId w:val="3"/>
        </w:numPr>
        <w:spacing w:after="60" w:before="60"/>
      </w:pPr>
      <w:r>
        <w:rPr>
          <w:rFonts w:ascii="Arial" w:cs="Arial" w:eastAsia="Arial" w:hAnsi="Arial"/>
          <w:color w:val="1A1A2E"/>
          <w:sz w:val="22"/>
          <w:szCs w:val="22"/>
        </w:rPr>
        <w:t xml:space="preserve">Customer reports transaction not credited to beneficiary</w:t>
      </w:r>
    </w:p>
    <w:p>
      <w:pPr>
        <w:pStyle w:val="ListParagraph"/>
        <w:numPr>
          <w:ilvl w:val="0"/>
          <w:numId w:val="3"/>
        </w:numPr>
        <w:spacing w:after="60" w:before="60"/>
      </w:pPr>
      <w:r>
        <w:rPr>
          <w:rFonts w:ascii="Arial" w:cs="Arial" w:eastAsia="Arial" w:hAnsi="Arial"/>
          <w:color w:val="1A1A2E"/>
          <w:sz w:val="22"/>
          <w:szCs w:val="22"/>
        </w:rPr>
        <w:t xml:space="preserve">CSR authenticates and obtains UTR number from customer</w:t>
      </w:r>
    </w:p>
    <w:p>
      <w:pPr>
        <w:pStyle w:val="ListParagraph"/>
        <w:numPr>
          <w:ilvl w:val="0"/>
          <w:numId w:val="3"/>
        </w:numPr>
        <w:spacing w:after="60" w:before="60"/>
      </w:pPr>
      <w:r>
        <w:rPr>
          <w:rFonts w:ascii="Arial" w:cs="Arial" w:eastAsia="Arial" w:hAnsi="Arial"/>
          <w:color w:val="1A1A2E"/>
          <w:sz w:val="22"/>
          <w:szCs w:val="22"/>
        </w:rPr>
        <w:t xml:space="preserve">UTR verified in CBS; transaction status checked (pending/failed/returned)</w:t>
      </w:r>
    </w:p>
    <w:p>
      <w:pPr>
        <w:pStyle w:val="ListParagraph"/>
        <w:numPr>
          <w:ilvl w:val="0"/>
          <w:numId w:val="3"/>
        </w:numPr>
        <w:spacing w:after="60" w:before="60"/>
      </w:pPr>
      <w:r>
        <w:rPr>
          <w:rFonts w:ascii="Arial" w:cs="Arial" w:eastAsia="Arial" w:hAnsi="Arial"/>
          <w:color w:val="1A1A2E"/>
          <w:sz w:val="22"/>
          <w:szCs w:val="22"/>
        </w:rPr>
        <w:t xml:space="preserve">If returned: amount re-credited to customer account within 2 hours</w:t>
      </w:r>
    </w:p>
    <w:p>
      <w:pPr>
        <w:pStyle w:val="ListParagraph"/>
        <w:numPr>
          <w:ilvl w:val="0"/>
          <w:numId w:val="3"/>
        </w:numPr>
        <w:spacing w:after="60" w:before="60"/>
      </w:pPr>
      <w:r>
        <w:rPr>
          <w:rFonts w:ascii="Arial" w:cs="Arial" w:eastAsia="Arial" w:hAnsi="Arial"/>
          <w:color w:val="1A1A2E"/>
          <w:sz w:val="22"/>
          <w:szCs w:val="22"/>
        </w:rPr>
        <w:t xml:space="preserve">If pending at beneficiary bank: UTR shared for beneficiary bank resolution</w:t>
      </w:r>
    </w:p>
    <w:p>
      <w:pPr>
        <w:pStyle w:val="ListParagraph"/>
        <w:numPr>
          <w:ilvl w:val="0"/>
          <w:numId w:val="3"/>
        </w:numPr>
        <w:spacing w:after="60" w:before="60"/>
      </w:pPr>
      <w:r>
        <w:rPr>
          <w:rFonts w:ascii="Arial" w:cs="Arial" w:eastAsia="Arial" w:hAnsi="Arial"/>
          <w:color w:val="1A1A2E"/>
          <w:sz w:val="22"/>
          <w:szCs w:val="22"/>
        </w:rPr>
        <w:t xml:space="preserve">If weekend/holiday: transaction held; credited next business day</w:t>
      </w:r>
    </w:p>
    <w:p>
      <w:pPr>
        <w:pStyle w:val="ListParagraph"/>
        <w:numPr>
          <w:ilvl w:val="0"/>
          <w:numId w:val="3"/>
        </w:numPr>
        <w:spacing w:after="60" w:before="60"/>
      </w:pPr>
      <w:r>
        <w:rPr>
          <w:rFonts w:ascii="Arial" w:cs="Arial" w:eastAsia="Arial" w:hAnsi="Arial"/>
          <w:color w:val="1A1A2E"/>
          <w:sz w:val="22"/>
          <w:szCs w:val="22"/>
        </w:rPr>
        <w:t xml:space="preserve">Customer updated with resolution details and timeline</w:t>
      </w:r>
    </w:p>
    <w:p>
      <w:r>
        <w:br w:type="page"/>
      </w:r>
    </w:p>
    <w:p>
      <w:pPr>
        <w:pStyle w:val="Heading1"/>
        <w:spacing w:after="200" w:before="360"/>
      </w:pPr>
      <w:r>
        <w:rPr>
          <w:rFonts w:ascii="Arial" w:cs="Arial" w:eastAsia="Arial" w:hAnsi="Arial"/>
          <w:b/>
          <w:bCs/>
          <w:color w:val="003366"/>
          <w:sz w:val="32"/>
          <w:szCs w:val="32"/>
        </w:rPr>
        <w:t xml:space="preserve">9. Escalation Matrix</w:t>
      </w:r>
    </w:p>
    <w:p>
      <w:pPr>
        <w:spacing w:after="80" w:before="80"/>
      </w:pPr>
      <w:r>
        <w:rPr>
          <w:rFonts w:ascii="Arial" w:cs="Arial" w:eastAsia="Arial" w:hAnsi="Arial"/>
          <w:color w:val="1A1A2E"/>
          <w:sz w:val="22"/>
          <w:szCs w:val="22"/>
        </w:rPr>
        <w:t xml:space="preserve">FutureTrust Bank's Customer Service Department follows a four-tier escalation matrix to ensure timely resolution of all customer concerns.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380"/>
        <w:gridCol w:w="1680"/>
        <w:gridCol w:w="1700"/>
      </w:tblGrid>
      <w:tr>
        <w:tc>
          <w:tcPr>
            <w:tcW w:type="dxa" w:w="1400"/>
            <w:tcBorders>
              <w:top w:val="single" w:color="AECDE0" w:sz="1"/>
              <w:left w:val="single" w:color="AECDE0" w:sz="1"/>
              <w:bottom w:val="single" w:color="AECDE0" w:sz="1"/>
              <w:right w:val="single" w:color="AECDE0" w:sz="1"/>
            </w:tcBorders>
            <w:shd w:fill="00336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Level</w:t>
            </w:r>
          </w:p>
        </w:tc>
        <w:tc>
          <w:tcPr>
            <w:tcW w:type="dxa" w:w="2200"/>
            <w:tcBorders>
              <w:top w:val="single" w:color="AECDE0" w:sz="1"/>
              <w:left w:val="single" w:color="AECDE0" w:sz="1"/>
              <w:bottom w:val="single" w:color="AECDE0" w:sz="1"/>
              <w:right w:val="single" w:color="AECDE0" w:sz="1"/>
            </w:tcBorders>
            <w:shd w:fill="00336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Handler</w:t>
            </w:r>
          </w:p>
        </w:tc>
        <w:tc>
          <w:tcPr>
            <w:tcW w:type="dxa" w:w="2380"/>
            <w:tcBorders>
              <w:top w:val="single" w:color="AECDE0" w:sz="1"/>
              <w:left w:val="single" w:color="AECDE0" w:sz="1"/>
              <w:bottom w:val="single" w:color="AECDE0" w:sz="1"/>
              <w:right w:val="single" w:color="AECDE0" w:sz="1"/>
            </w:tcBorders>
            <w:shd w:fill="00336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Issue Type</w:t>
            </w:r>
          </w:p>
        </w:tc>
        <w:tc>
          <w:tcPr>
            <w:tcW w:type="dxa" w:w="1680"/>
            <w:tcBorders>
              <w:top w:val="single" w:color="AECDE0" w:sz="1"/>
              <w:left w:val="single" w:color="AECDE0" w:sz="1"/>
              <w:bottom w:val="single" w:color="AECDE0" w:sz="1"/>
              <w:right w:val="single" w:color="AECDE0" w:sz="1"/>
            </w:tcBorders>
            <w:shd w:fill="00336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Response SLA</w:t>
            </w:r>
          </w:p>
        </w:tc>
        <w:tc>
          <w:tcPr>
            <w:tcW w:type="dxa" w:w="1700"/>
            <w:tcBorders>
              <w:top w:val="single" w:color="AECDE0" w:sz="1"/>
              <w:left w:val="single" w:color="AECDE0" w:sz="1"/>
              <w:bottom w:val="single" w:color="AECDE0" w:sz="1"/>
              <w:right w:val="single" w:color="AECDE0" w:sz="1"/>
            </w:tcBorders>
            <w:shd w:fill="00336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Resolution SLA</w:t>
            </w:r>
          </w:p>
        </w:tc>
      </w:tr>
      <w:tr>
        <w:tc>
          <w:tcPr>
            <w:tcW w:type="dxa" w:w="14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L1</w:t>
            </w:r>
          </w:p>
        </w:tc>
        <w:tc>
          <w:tcPr>
            <w:tcW w:type="dxa" w:w="22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Customer Service Representative</w:t>
            </w:r>
          </w:p>
        </w:tc>
        <w:tc>
          <w:tcPr>
            <w:tcW w:type="dxa" w:w="23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Standard queries, balance, statements, card block</w:t>
            </w:r>
          </w:p>
        </w:tc>
        <w:tc>
          <w:tcPr>
            <w:tcW w:type="dxa" w:w="16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Immediate</w:t>
            </w:r>
          </w:p>
        </w:tc>
        <w:tc>
          <w:tcPr>
            <w:tcW w:type="dxa" w:w="17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Same call</w:t>
            </w:r>
          </w:p>
        </w:tc>
      </w:tr>
      <w:tr>
        <w:tc>
          <w:tcPr>
            <w:tcW w:type="dxa" w:w="14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L2</w:t>
            </w:r>
          </w:p>
        </w:tc>
        <w:tc>
          <w:tcPr>
            <w:tcW w:type="dxa" w:w="22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Senior CSR / Team Lead</w:t>
            </w:r>
          </w:p>
        </w:tc>
        <w:tc>
          <w:tcPr>
            <w:tcW w:type="dxa" w:w="23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Complex queries, disputes, waivers, VIP customers</w:t>
            </w:r>
          </w:p>
        </w:tc>
        <w:tc>
          <w:tcPr>
            <w:tcW w:type="dxa" w:w="16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15 min</w:t>
            </w:r>
          </w:p>
        </w:tc>
        <w:tc>
          <w:tcPr>
            <w:tcW w:type="dxa" w:w="17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4 hours</w:t>
            </w:r>
          </w:p>
        </w:tc>
      </w:tr>
      <w:tr>
        <w:tc>
          <w:tcPr>
            <w:tcW w:type="dxa" w:w="14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L3</w:t>
            </w:r>
          </w:p>
        </w:tc>
        <w:tc>
          <w:tcPr>
            <w:tcW w:type="dxa" w:w="22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Assistant Manager / CRO</w:t>
            </w:r>
          </w:p>
        </w:tc>
        <w:tc>
          <w:tcPr>
            <w:tcW w:type="dxa" w:w="23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Formal complaints, fraud cases, branch-level errors</w:t>
            </w:r>
          </w:p>
        </w:tc>
        <w:tc>
          <w:tcPr>
            <w:tcW w:type="dxa" w:w="16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2 hours</w:t>
            </w:r>
          </w:p>
        </w:tc>
        <w:tc>
          <w:tcPr>
            <w:tcW w:type="dxa" w:w="17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5 days</w:t>
            </w:r>
          </w:p>
        </w:tc>
      </w:tr>
      <w:tr>
        <w:tc>
          <w:tcPr>
            <w:tcW w:type="dxa" w:w="14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L4</w:t>
            </w:r>
          </w:p>
        </w:tc>
        <w:tc>
          <w:tcPr>
            <w:tcW w:type="dxa" w:w="22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Department Manager / SVP</w:t>
            </w:r>
          </w:p>
        </w:tc>
        <w:tc>
          <w:tcPr>
            <w:tcW w:type="dxa" w:w="23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Legal matters, high-value disputes, media escalations</w:t>
            </w:r>
          </w:p>
        </w:tc>
        <w:tc>
          <w:tcPr>
            <w:tcW w:type="dxa" w:w="16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4 hours</w:t>
            </w:r>
          </w:p>
        </w:tc>
        <w:tc>
          <w:tcPr>
            <w:tcW w:type="dxa" w:w="17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15 days</w:t>
            </w:r>
          </w:p>
        </w:tc>
      </w:tr>
      <w:tr>
        <w:tc>
          <w:tcPr>
            <w:tcW w:type="dxa" w:w="14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External</w:t>
            </w:r>
          </w:p>
        </w:tc>
        <w:tc>
          <w:tcPr>
            <w:tcW w:type="dxa" w:w="22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Banking Ombudsman / RBI</w:t>
            </w:r>
          </w:p>
        </w:tc>
        <w:tc>
          <w:tcPr>
            <w:tcW w:type="dxa" w:w="23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Cases unresolved after 30 days at bank level</w:t>
            </w:r>
          </w:p>
        </w:tc>
        <w:tc>
          <w:tcPr>
            <w:tcW w:type="dxa" w:w="16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N/A</w:t>
            </w:r>
          </w:p>
        </w:tc>
        <w:tc>
          <w:tcPr>
            <w:tcW w:type="dxa" w:w="17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30 days</w:t>
            </w:r>
          </w:p>
        </w:tc>
      </w:tr>
    </w:tbl>
    <w:p>
      <w:pPr>
        <w:spacing w:after="120" w:before="0"/>
      </w:pPr>
      <w:r>
        <w:t xml:space="preserve"/>
      </w:r>
    </w:p>
    <w:p>
      <w:pPr>
        <w:pStyle w:val="Heading2"/>
        <w:spacing w:after="160" w:before="280"/>
      </w:pPr>
      <w:r>
        <w:rPr>
          <w:rFonts w:ascii="Arial" w:cs="Arial" w:eastAsia="Arial" w:hAnsi="Arial"/>
          <w:b/>
          <w:bCs/>
          <w:color w:val="1F5C9E"/>
          <w:sz w:val="26"/>
          <w:szCs w:val="26"/>
        </w:rPr>
        <w:t xml:space="preserve">9.1 Escalation Triggers</w:t>
      </w:r>
    </w:p>
    <w:p>
      <w:pPr>
        <w:pStyle w:val="ListParagraph"/>
        <w:numPr>
          <w:ilvl w:val="0"/>
          <w:numId w:val="2"/>
        </w:numPr>
        <w:spacing w:after="60" w:before="60"/>
      </w:pPr>
      <w:r>
        <w:rPr>
          <w:rFonts w:ascii="Arial" w:cs="Arial" w:eastAsia="Arial" w:hAnsi="Arial"/>
          <w:color w:val="1A1A2E"/>
          <w:sz w:val="22"/>
          <w:szCs w:val="22"/>
        </w:rPr>
        <w:t xml:space="preserve">Customer explicitly requests to speak to a supervisor</w:t>
      </w:r>
    </w:p>
    <w:p>
      <w:pPr>
        <w:pStyle w:val="ListParagraph"/>
        <w:numPr>
          <w:ilvl w:val="0"/>
          <w:numId w:val="2"/>
        </w:numPr>
        <w:spacing w:after="60" w:before="60"/>
      </w:pPr>
      <w:r>
        <w:rPr>
          <w:rFonts w:ascii="Arial" w:cs="Arial" w:eastAsia="Arial" w:hAnsi="Arial"/>
          <w:color w:val="1A1A2E"/>
          <w:sz w:val="22"/>
          <w:szCs w:val="22"/>
        </w:rPr>
        <w:t xml:space="preserve">Issue not resolved within promised timeline</w:t>
      </w:r>
    </w:p>
    <w:p>
      <w:pPr>
        <w:pStyle w:val="ListParagraph"/>
        <w:numPr>
          <w:ilvl w:val="0"/>
          <w:numId w:val="2"/>
        </w:numPr>
        <w:spacing w:after="60" w:before="60"/>
      </w:pPr>
      <w:r>
        <w:rPr>
          <w:rFonts w:ascii="Arial" w:cs="Arial" w:eastAsia="Arial" w:hAnsi="Arial"/>
          <w:color w:val="1A1A2E"/>
          <w:sz w:val="22"/>
          <w:szCs w:val="22"/>
        </w:rPr>
        <w:t xml:space="preserve">Transaction dispute exceeding ₹50,000</w:t>
      </w:r>
    </w:p>
    <w:p>
      <w:pPr>
        <w:pStyle w:val="ListParagraph"/>
        <w:numPr>
          <w:ilvl w:val="0"/>
          <w:numId w:val="2"/>
        </w:numPr>
        <w:spacing w:after="60" w:before="60"/>
      </w:pPr>
      <w:r>
        <w:rPr>
          <w:rFonts w:ascii="Arial" w:cs="Arial" w:eastAsia="Arial" w:hAnsi="Arial"/>
          <w:color w:val="1A1A2E"/>
          <w:sz w:val="22"/>
          <w:szCs w:val="22"/>
        </w:rPr>
        <w:t xml:space="preserve">Fraud case confirmed or strongly suspected</w:t>
      </w:r>
    </w:p>
    <w:p>
      <w:pPr>
        <w:pStyle w:val="ListParagraph"/>
        <w:numPr>
          <w:ilvl w:val="0"/>
          <w:numId w:val="2"/>
        </w:numPr>
        <w:spacing w:after="60" w:before="60"/>
      </w:pPr>
      <w:r>
        <w:rPr>
          <w:rFonts w:ascii="Arial" w:cs="Arial" w:eastAsia="Arial" w:hAnsi="Arial"/>
          <w:color w:val="1A1A2E"/>
          <w:sz w:val="22"/>
          <w:szCs w:val="22"/>
        </w:rPr>
        <w:t xml:space="preserve">Customer mentions media, consumer court, or RBI complaint</w:t>
      </w:r>
    </w:p>
    <w:p>
      <w:pPr>
        <w:pStyle w:val="ListParagraph"/>
        <w:numPr>
          <w:ilvl w:val="0"/>
          <w:numId w:val="2"/>
        </w:numPr>
        <w:spacing w:after="60" w:before="60"/>
      </w:pPr>
      <w:r>
        <w:rPr>
          <w:rFonts w:ascii="Arial" w:cs="Arial" w:eastAsia="Arial" w:hAnsi="Arial"/>
          <w:color w:val="1A1A2E"/>
          <w:sz w:val="22"/>
          <w:szCs w:val="22"/>
        </w:rPr>
        <w:t xml:space="preserve">Three or more interactions without resolution on same issue</w:t>
      </w:r>
    </w:p>
    <w:p>
      <w:pPr>
        <w:pStyle w:val="ListParagraph"/>
        <w:numPr>
          <w:ilvl w:val="0"/>
          <w:numId w:val="2"/>
        </w:numPr>
        <w:spacing w:after="60" w:before="60"/>
      </w:pPr>
      <w:r>
        <w:rPr>
          <w:rFonts w:ascii="Arial" w:cs="Arial" w:eastAsia="Arial" w:hAnsi="Arial"/>
          <w:color w:val="1A1A2E"/>
          <w:sz w:val="22"/>
          <w:szCs w:val="22"/>
        </w:rPr>
        <w:t xml:space="preserve">Medical/emergency situations affecting account access</w:t>
      </w:r>
    </w:p>
    <w:p>
      <w:pPr>
        <w:pStyle w:val="ListParagraph"/>
        <w:numPr>
          <w:ilvl w:val="0"/>
          <w:numId w:val="2"/>
        </w:numPr>
        <w:spacing w:after="60" w:before="60"/>
      </w:pPr>
      <w:r>
        <w:rPr>
          <w:rFonts w:ascii="Arial" w:cs="Arial" w:eastAsia="Arial" w:hAnsi="Arial"/>
          <w:color w:val="1A1A2E"/>
          <w:sz w:val="22"/>
          <w:szCs w:val="22"/>
        </w:rPr>
        <w:t xml:space="preserve">Threatening or abusive caller – safety escalation to floor supervisor</w:t>
      </w:r>
    </w:p>
    <w:p>
      <w:pPr>
        <w:spacing w:after="120" w:before="0"/>
      </w:pPr>
      <w:r>
        <w:t xml:space="preserve"/>
      </w:r>
    </w:p>
    <w:p>
      <w:pPr>
        <w:pStyle w:val="Heading2"/>
        <w:spacing w:after="160" w:before="280"/>
      </w:pPr>
      <w:r>
        <w:rPr>
          <w:rFonts w:ascii="Arial" w:cs="Arial" w:eastAsia="Arial" w:hAnsi="Arial"/>
          <w:b/>
          <w:bCs/>
          <w:color w:val="1F5C9E"/>
          <w:sz w:val="26"/>
          <w:szCs w:val="26"/>
        </w:rPr>
        <w:t xml:space="preserve">9.2 Escalation Documentation Requirements</w:t>
      </w:r>
    </w:p>
    <w:p>
      <w:pPr>
        <w:spacing w:after="80" w:before="80"/>
      </w:pPr>
      <w:r>
        <w:rPr>
          <w:rFonts w:ascii="Arial" w:cs="Arial" w:eastAsia="Arial" w:hAnsi="Arial"/>
          <w:color w:val="1A1A2E"/>
          <w:sz w:val="22"/>
          <w:szCs w:val="22"/>
        </w:rPr>
        <w:t xml:space="preserve">When escalating any case, the handling CSR must document the following in CRM before transfer:</w:t>
      </w:r>
    </w:p>
    <w:p>
      <w:pPr>
        <w:pStyle w:val="ListParagraph"/>
        <w:numPr>
          <w:ilvl w:val="0"/>
          <w:numId w:val="2"/>
        </w:numPr>
        <w:spacing w:after="60" w:before="60"/>
      </w:pPr>
      <w:r>
        <w:rPr>
          <w:rFonts w:ascii="Arial" w:cs="Arial" w:eastAsia="Arial" w:hAnsi="Arial"/>
          <w:color w:val="1A1A2E"/>
          <w:sz w:val="22"/>
          <w:szCs w:val="22"/>
        </w:rPr>
        <w:t xml:space="preserve">Customer name, CIF number, and account number</w:t>
      </w:r>
    </w:p>
    <w:p>
      <w:pPr>
        <w:pStyle w:val="ListParagraph"/>
        <w:numPr>
          <w:ilvl w:val="0"/>
          <w:numId w:val="2"/>
        </w:numPr>
        <w:spacing w:after="60" w:before="60"/>
      </w:pPr>
      <w:r>
        <w:rPr>
          <w:rFonts w:ascii="Arial" w:cs="Arial" w:eastAsia="Arial" w:hAnsi="Arial"/>
          <w:color w:val="1A1A2E"/>
          <w:sz w:val="22"/>
          <w:szCs w:val="22"/>
        </w:rPr>
        <w:t xml:space="preserve">Nature of issue with full interaction history</w:t>
      </w:r>
    </w:p>
    <w:p>
      <w:pPr>
        <w:pStyle w:val="ListParagraph"/>
        <w:numPr>
          <w:ilvl w:val="0"/>
          <w:numId w:val="2"/>
        </w:numPr>
        <w:spacing w:after="60" w:before="60"/>
      </w:pPr>
      <w:r>
        <w:rPr>
          <w:rFonts w:ascii="Arial" w:cs="Arial" w:eastAsia="Arial" w:hAnsi="Arial"/>
          <w:color w:val="1A1A2E"/>
          <w:sz w:val="22"/>
          <w:szCs w:val="22"/>
        </w:rPr>
        <w:t xml:space="preserve">Actions already taken and their outcomes</w:t>
      </w:r>
    </w:p>
    <w:p>
      <w:pPr>
        <w:pStyle w:val="ListParagraph"/>
        <w:numPr>
          <w:ilvl w:val="0"/>
          <w:numId w:val="2"/>
        </w:numPr>
        <w:spacing w:after="60" w:before="60"/>
      </w:pPr>
      <w:r>
        <w:rPr>
          <w:rFonts w:ascii="Arial" w:cs="Arial" w:eastAsia="Arial" w:hAnsi="Arial"/>
          <w:color w:val="1A1A2E"/>
          <w:sz w:val="22"/>
          <w:szCs w:val="22"/>
        </w:rPr>
        <w:t xml:space="preserve">Customer's emotional state (frustrated, satisfied, aggressive, distressed)</w:t>
      </w:r>
    </w:p>
    <w:p>
      <w:pPr>
        <w:pStyle w:val="ListParagraph"/>
        <w:numPr>
          <w:ilvl w:val="0"/>
          <w:numId w:val="2"/>
        </w:numPr>
        <w:spacing w:after="60" w:before="60"/>
      </w:pPr>
      <w:r>
        <w:rPr>
          <w:rFonts w:ascii="Arial" w:cs="Arial" w:eastAsia="Arial" w:hAnsi="Arial"/>
          <w:color w:val="1A1A2E"/>
          <w:sz w:val="22"/>
          <w:szCs w:val="22"/>
        </w:rPr>
        <w:t xml:space="preserve">Any commitments made to the customer</w:t>
      </w:r>
    </w:p>
    <w:p>
      <w:pPr>
        <w:pStyle w:val="ListParagraph"/>
        <w:numPr>
          <w:ilvl w:val="0"/>
          <w:numId w:val="2"/>
        </w:numPr>
        <w:spacing w:after="60" w:before="60"/>
      </w:pPr>
      <w:r>
        <w:rPr>
          <w:rFonts w:ascii="Arial" w:cs="Arial" w:eastAsia="Arial" w:hAnsi="Arial"/>
          <w:color w:val="1A1A2E"/>
          <w:sz w:val="22"/>
          <w:szCs w:val="22"/>
        </w:rPr>
        <w:t xml:space="preserve">Priority level (Normal / High / Critical / VIP)</w:t>
      </w:r>
    </w:p>
    <w:p>
      <w:r>
        <w:br w:type="page"/>
      </w:r>
    </w:p>
    <w:p>
      <w:pPr>
        <w:pStyle w:val="Heading1"/>
        <w:spacing w:after="200" w:before="360"/>
      </w:pPr>
      <w:r>
        <w:rPr>
          <w:rFonts w:ascii="Arial" w:cs="Arial" w:eastAsia="Arial" w:hAnsi="Arial"/>
          <w:b/>
          <w:bCs/>
          <w:color w:val="003366"/>
          <w:sz w:val="32"/>
          <w:szCs w:val="32"/>
        </w:rPr>
        <w:t xml:space="preserve">10. Employee Hierarchy – Customer Service Department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2200"/>
        <w:gridCol w:w="1930"/>
        <w:gridCol w:w="1930"/>
      </w:tblGrid>
      <w:tr>
        <w:tc>
          <w:tcPr>
            <w:tcW w:type="dxa" w:w="500"/>
            <w:tcBorders>
              <w:top w:val="single" w:color="AECDE0" w:sz="1"/>
              <w:left w:val="single" w:color="AECDE0" w:sz="1"/>
              <w:bottom w:val="single" w:color="AECDE0" w:sz="1"/>
              <w:right w:val="single" w:color="AECDE0" w:sz="1"/>
            </w:tcBorders>
            <w:shd w:fill="00336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Level</w:t>
            </w:r>
          </w:p>
        </w:tc>
        <w:tc>
          <w:tcPr>
            <w:tcW w:type="dxa" w:w="2800"/>
            <w:tcBorders>
              <w:top w:val="single" w:color="AECDE0" w:sz="1"/>
              <w:left w:val="single" w:color="AECDE0" w:sz="1"/>
              <w:bottom w:val="single" w:color="AECDE0" w:sz="1"/>
              <w:right w:val="single" w:color="AECDE0" w:sz="1"/>
            </w:tcBorders>
            <w:shd w:fill="00336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Designation</w:t>
            </w:r>
          </w:p>
        </w:tc>
        <w:tc>
          <w:tcPr>
            <w:tcW w:type="dxa" w:w="2200"/>
            <w:tcBorders>
              <w:top w:val="single" w:color="AECDE0" w:sz="1"/>
              <w:left w:val="single" w:color="AECDE0" w:sz="1"/>
              <w:bottom w:val="single" w:color="AECDE0" w:sz="1"/>
              <w:right w:val="single" w:color="AECDE0" w:sz="1"/>
            </w:tcBorders>
            <w:shd w:fill="00336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Reports To</w:t>
            </w:r>
          </w:p>
        </w:tc>
        <w:tc>
          <w:tcPr>
            <w:tcW w:type="dxa" w:w="1930"/>
            <w:tcBorders>
              <w:top w:val="single" w:color="AECDE0" w:sz="1"/>
              <w:left w:val="single" w:color="AECDE0" w:sz="1"/>
              <w:bottom w:val="single" w:color="AECDE0" w:sz="1"/>
              <w:right w:val="single" w:color="AECDE0" w:sz="1"/>
            </w:tcBorders>
            <w:shd w:fill="00336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Team Size Managed</w:t>
            </w:r>
          </w:p>
        </w:tc>
        <w:tc>
          <w:tcPr>
            <w:tcW w:type="dxa" w:w="1930"/>
            <w:tcBorders>
              <w:top w:val="single" w:color="AECDE0" w:sz="1"/>
              <w:left w:val="single" w:color="AECDE0" w:sz="1"/>
              <w:bottom w:val="single" w:color="AECDE0" w:sz="1"/>
              <w:right w:val="single" w:color="AECDE0" w:sz="1"/>
            </w:tcBorders>
            <w:shd w:fill="00336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Grade</w:t>
            </w:r>
          </w:p>
        </w:tc>
      </w:tr>
      <w:tr>
        <w:tc>
          <w:tcPr>
            <w:tcW w:type="dxa" w:w="5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w:t>
            </w:r>
          </w:p>
        </w:tc>
        <w:tc>
          <w:tcPr>
            <w:tcW w:type="dxa" w:w="28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Customer Service Representative (CSR)</w:t>
            </w:r>
          </w:p>
        </w:tc>
        <w:tc>
          <w:tcPr>
            <w:tcW w:type="dxa" w:w="22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Senior CSR / Team Lead</w:t>
            </w:r>
          </w:p>
        </w:tc>
        <w:tc>
          <w:tcPr>
            <w:tcW w:type="dxa" w:w="193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N/A</w:t>
            </w:r>
          </w:p>
        </w:tc>
        <w:tc>
          <w:tcPr>
            <w:tcW w:type="dxa" w:w="193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G1</w:t>
            </w:r>
          </w:p>
        </w:tc>
      </w:tr>
      <w:tr>
        <w:tc>
          <w:tcPr>
            <w:tcW w:type="dxa" w:w="5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w:t>
            </w:r>
          </w:p>
        </w:tc>
        <w:tc>
          <w:tcPr>
            <w:tcW w:type="dxa" w:w="28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Senior Customer Service Representative</w:t>
            </w:r>
          </w:p>
        </w:tc>
        <w:tc>
          <w:tcPr>
            <w:tcW w:type="dxa" w:w="22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Team Lead</w:t>
            </w:r>
          </w:p>
        </w:tc>
        <w:tc>
          <w:tcPr>
            <w:tcW w:type="dxa" w:w="193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N/A</w:t>
            </w:r>
          </w:p>
        </w:tc>
        <w:tc>
          <w:tcPr>
            <w:tcW w:type="dxa" w:w="193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G2</w:t>
            </w:r>
          </w:p>
        </w:tc>
      </w:tr>
      <w:tr>
        <w:tc>
          <w:tcPr>
            <w:tcW w:type="dxa" w:w="5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w:t>
            </w:r>
          </w:p>
        </w:tc>
        <w:tc>
          <w:tcPr>
            <w:tcW w:type="dxa" w:w="28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Team Lead / Floor Supervisor</w:t>
            </w:r>
          </w:p>
        </w:tc>
        <w:tc>
          <w:tcPr>
            <w:tcW w:type="dxa" w:w="22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Assistant Manager</w:t>
            </w:r>
          </w:p>
        </w:tc>
        <w:tc>
          <w:tcPr>
            <w:tcW w:type="dxa" w:w="193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12–15 CSRs</w:t>
            </w:r>
          </w:p>
        </w:tc>
        <w:tc>
          <w:tcPr>
            <w:tcW w:type="dxa" w:w="193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G3</w:t>
            </w:r>
          </w:p>
        </w:tc>
      </w:tr>
      <w:tr>
        <w:tc>
          <w:tcPr>
            <w:tcW w:type="dxa" w:w="5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w:t>
            </w:r>
          </w:p>
        </w:tc>
        <w:tc>
          <w:tcPr>
            <w:tcW w:type="dxa" w:w="28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QA Analyst</w:t>
            </w:r>
          </w:p>
        </w:tc>
        <w:tc>
          <w:tcPr>
            <w:tcW w:type="dxa" w:w="22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Assistant Manager – Quality</w:t>
            </w:r>
          </w:p>
        </w:tc>
        <w:tc>
          <w:tcPr>
            <w:tcW w:type="dxa" w:w="193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N/A</w:t>
            </w:r>
          </w:p>
        </w:tc>
        <w:tc>
          <w:tcPr>
            <w:tcW w:type="dxa" w:w="193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G3</w:t>
            </w:r>
          </w:p>
        </w:tc>
      </w:tr>
      <w:tr>
        <w:tc>
          <w:tcPr>
            <w:tcW w:type="dxa" w:w="5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w:t>
            </w:r>
          </w:p>
        </w:tc>
        <w:tc>
          <w:tcPr>
            <w:tcW w:type="dxa" w:w="28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Complaint Resolution Officer (CRO)</w:t>
            </w:r>
          </w:p>
        </w:tc>
        <w:tc>
          <w:tcPr>
            <w:tcW w:type="dxa" w:w="22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Assistant Manager</w:t>
            </w:r>
          </w:p>
        </w:tc>
        <w:tc>
          <w:tcPr>
            <w:tcW w:type="dxa" w:w="193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N/A</w:t>
            </w:r>
          </w:p>
        </w:tc>
        <w:tc>
          <w:tcPr>
            <w:tcW w:type="dxa" w:w="193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G4</w:t>
            </w:r>
          </w:p>
        </w:tc>
      </w:tr>
      <w:tr>
        <w:tc>
          <w:tcPr>
            <w:tcW w:type="dxa" w:w="5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6</w:t>
            </w:r>
          </w:p>
        </w:tc>
        <w:tc>
          <w:tcPr>
            <w:tcW w:type="dxa" w:w="28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Assistant Manager – Operations</w:t>
            </w:r>
          </w:p>
        </w:tc>
        <w:tc>
          <w:tcPr>
            <w:tcW w:type="dxa" w:w="22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Department Manager</w:t>
            </w:r>
          </w:p>
        </w:tc>
        <w:tc>
          <w:tcPr>
            <w:tcW w:type="dxa" w:w="193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3–5 Team Leads</w:t>
            </w:r>
          </w:p>
        </w:tc>
        <w:tc>
          <w:tcPr>
            <w:tcW w:type="dxa" w:w="193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M1</w:t>
            </w:r>
          </w:p>
        </w:tc>
      </w:tr>
      <w:tr>
        <w:tc>
          <w:tcPr>
            <w:tcW w:type="dxa" w:w="5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7</w:t>
            </w:r>
          </w:p>
        </w:tc>
        <w:tc>
          <w:tcPr>
            <w:tcW w:type="dxa" w:w="28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Assistant Manager – Quality &amp; Training</w:t>
            </w:r>
          </w:p>
        </w:tc>
        <w:tc>
          <w:tcPr>
            <w:tcW w:type="dxa" w:w="22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Department Manager</w:t>
            </w:r>
          </w:p>
        </w:tc>
        <w:tc>
          <w:tcPr>
            <w:tcW w:type="dxa" w:w="193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QA Analysts + Trainers</w:t>
            </w:r>
          </w:p>
        </w:tc>
        <w:tc>
          <w:tcPr>
            <w:tcW w:type="dxa" w:w="193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M1</w:t>
            </w:r>
          </w:p>
        </w:tc>
      </w:tr>
      <w:tr>
        <w:tc>
          <w:tcPr>
            <w:tcW w:type="dxa" w:w="5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8</w:t>
            </w:r>
          </w:p>
        </w:tc>
        <w:tc>
          <w:tcPr>
            <w:tcW w:type="dxa" w:w="28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Department Manager – Customer Service</w:t>
            </w:r>
          </w:p>
        </w:tc>
        <w:tc>
          <w:tcPr>
            <w:tcW w:type="dxa" w:w="22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SVP – Retail Banking Ops</w:t>
            </w:r>
          </w:p>
        </w:tc>
        <w:tc>
          <w:tcPr>
            <w:tcW w:type="dxa" w:w="193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Full Department</w:t>
            </w:r>
          </w:p>
        </w:tc>
        <w:tc>
          <w:tcPr>
            <w:tcW w:type="dxa" w:w="193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M3</w:t>
            </w:r>
          </w:p>
        </w:tc>
      </w:tr>
      <w:tr>
        <w:tc>
          <w:tcPr>
            <w:tcW w:type="dxa" w:w="5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9</w:t>
            </w:r>
          </w:p>
        </w:tc>
        <w:tc>
          <w:tcPr>
            <w:tcW w:type="dxa" w:w="28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SVP – Customer Experience &amp; Retail Ops</w:t>
            </w:r>
          </w:p>
        </w:tc>
        <w:tc>
          <w:tcPr>
            <w:tcW w:type="dxa" w:w="22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Chief Operating Officer</w:t>
            </w:r>
          </w:p>
        </w:tc>
        <w:tc>
          <w:tcPr>
            <w:tcW w:type="dxa" w:w="193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Multiple Departments</w:t>
            </w:r>
          </w:p>
        </w:tc>
        <w:tc>
          <w:tcPr>
            <w:tcW w:type="dxa" w:w="193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E2</w:t>
            </w:r>
          </w:p>
        </w:tc>
      </w:tr>
    </w:tbl>
    <w:p>
      <w:pPr>
        <w:spacing w:after="120" w:before="0"/>
      </w:pPr>
      <w:r>
        <w:t xml:space="preserve"/>
      </w:r>
    </w:p>
    <w:p>
      <w:pPr>
        <w:pStyle w:val="Heading2"/>
        <w:spacing w:after="160" w:before="280"/>
      </w:pPr>
      <w:r>
        <w:rPr>
          <w:rFonts w:ascii="Arial" w:cs="Arial" w:eastAsia="Arial" w:hAnsi="Arial"/>
          <w:b/>
          <w:bCs/>
          <w:color w:val="1F5C9E"/>
          <w:sz w:val="26"/>
          <w:szCs w:val="26"/>
        </w:rPr>
        <w:t xml:space="preserve">10.1 Department Staffing Strength</w:t>
      </w:r>
    </w:p>
    <w:p>
      <w:pPr>
        <w:pStyle w:val="ListParagraph"/>
        <w:numPr>
          <w:ilvl w:val="0"/>
          <w:numId w:val="2"/>
        </w:numPr>
        <w:spacing w:after="60" w:before="60"/>
      </w:pPr>
      <w:r>
        <w:rPr>
          <w:rFonts w:ascii="Arial" w:cs="Arial" w:eastAsia="Arial" w:hAnsi="Arial"/>
          <w:color w:val="1A1A2E"/>
          <w:sz w:val="22"/>
          <w:szCs w:val="22"/>
        </w:rPr>
        <w:t xml:space="preserve">Total Customer Service Representatives (L1 + L2): 420</w:t>
      </w:r>
    </w:p>
    <w:p>
      <w:pPr>
        <w:pStyle w:val="ListParagraph"/>
        <w:numPr>
          <w:ilvl w:val="0"/>
          <w:numId w:val="2"/>
        </w:numPr>
        <w:spacing w:after="60" w:before="60"/>
      </w:pPr>
      <w:r>
        <w:rPr>
          <w:rFonts w:ascii="Arial" w:cs="Arial" w:eastAsia="Arial" w:hAnsi="Arial"/>
          <w:color w:val="1A1A2E"/>
          <w:sz w:val="22"/>
          <w:szCs w:val="22"/>
        </w:rPr>
        <w:t xml:space="preserve">Team Leads / Floor Supervisors: 32</w:t>
      </w:r>
    </w:p>
    <w:p>
      <w:pPr>
        <w:pStyle w:val="ListParagraph"/>
        <w:numPr>
          <w:ilvl w:val="0"/>
          <w:numId w:val="2"/>
        </w:numPr>
        <w:spacing w:after="60" w:before="60"/>
      </w:pPr>
      <w:r>
        <w:rPr>
          <w:rFonts w:ascii="Arial" w:cs="Arial" w:eastAsia="Arial" w:hAnsi="Arial"/>
          <w:color w:val="1A1A2E"/>
          <w:sz w:val="22"/>
          <w:szCs w:val="22"/>
        </w:rPr>
        <w:t xml:space="preserve">QA Analysts: 18</w:t>
      </w:r>
    </w:p>
    <w:p>
      <w:pPr>
        <w:pStyle w:val="ListParagraph"/>
        <w:numPr>
          <w:ilvl w:val="0"/>
          <w:numId w:val="2"/>
        </w:numPr>
        <w:spacing w:after="60" w:before="60"/>
      </w:pPr>
      <w:r>
        <w:rPr>
          <w:rFonts w:ascii="Arial" w:cs="Arial" w:eastAsia="Arial" w:hAnsi="Arial"/>
          <w:color w:val="1A1A2E"/>
          <w:sz w:val="22"/>
          <w:szCs w:val="22"/>
        </w:rPr>
        <w:t xml:space="preserve">Complaint Resolution Officers: 12</w:t>
      </w:r>
    </w:p>
    <w:p>
      <w:pPr>
        <w:pStyle w:val="ListParagraph"/>
        <w:numPr>
          <w:ilvl w:val="0"/>
          <w:numId w:val="2"/>
        </w:numPr>
        <w:spacing w:after="60" w:before="60"/>
      </w:pPr>
      <w:r>
        <w:rPr>
          <w:rFonts w:ascii="Arial" w:cs="Arial" w:eastAsia="Arial" w:hAnsi="Arial"/>
          <w:color w:val="1A1A2E"/>
          <w:sz w:val="22"/>
          <w:szCs w:val="22"/>
        </w:rPr>
        <w:t xml:space="preserve">Digital Banking Support Specialists: 24</w:t>
      </w:r>
    </w:p>
    <w:p>
      <w:pPr>
        <w:pStyle w:val="ListParagraph"/>
        <w:numPr>
          <w:ilvl w:val="0"/>
          <w:numId w:val="2"/>
        </w:numPr>
        <w:spacing w:after="60" w:before="60"/>
      </w:pPr>
      <w:r>
        <w:rPr>
          <w:rFonts w:ascii="Arial" w:cs="Arial" w:eastAsia="Arial" w:hAnsi="Arial"/>
          <w:color w:val="1A1A2E"/>
          <w:sz w:val="22"/>
          <w:szCs w:val="22"/>
        </w:rPr>
        <w:t xml:space="preserve">Fraud and Risk Response Specialists: 16</w:t>
      </w:r>
    </w:p>
    <w:p>
      <w:pPr>
        <w:pStyle w:val="ListParagraph"/>
        <w:numPr>
          <w:ilvl w:val="0"/>
          <w:numId w:val="2"/>
        </w:numPr>
        <w:spacing w:after="60" w:before="60"/>
      </w:pPr>
      <w:r>
        <w:rPr>
          <w:rFonts w:ascii="Arial" w:cs="Arial" w:eastAsia="Arial" w:hAnsi="Arial"/>
          <w:color w:val="1A1A2E"/>
          <w:sz w:val="22"/>
          <w:szCs w:val="22"/>
        </w:rPr>
        <w:t xml:space="preserve">Assistant Managers: 8</w:t>
      </w:r>
    </w:p>
    <w:p>
      <w:pPr>
        <w:pStyle w:val="ListParagraph"/>
        <w:numPr>
          <w:ilvl w:val="0"/>
          <w:numId w:val="2"/>
        </w:numPr>
        <w:spacing w:after="60" w:before="60"/>
      </w:pPr>
      <w:r>
        <w:rPr>
          <w:rFonts w:ascii="Arial" w:cs="Arial" w:eastAsia="Arial" w:hAnsi="Arial"/>
          <w:color w:val="1A1A2E"/>
          <w:sz w:val="22"/>
          <w:szCs w:val="22"/>
        </w:rPr>
        <w:t xml:space="preserve">Department Managers: 2 (Operations and Quality)</w:t>
      </w:r>
    </w:p>
    <w:p>
      <w:pPr>
        <w:pStyle w:val="ListParagraph"/>
        <w:numPr>
          <w:ilvl w:val="0"/>
          <w:numId w:val="2"/>
        </w:numPr>
        <w:spacing w:after="60" w:before="60"/>
      </w:pPr>
      <w:r>
        <w:rPr>
          <w:rFonts w:ascii="Arial" w:cs="Arial" w:eastAsia="Arial" w:hAnsi="Arial"/>
          <w:color w:val="1A1A2E"/>
          <w:sz w:val="22"/>
          <w:szCs w:val="22"/>
        </w:rPr>
        <w:t xml:space="preserve">Total Department Headcount: 532</w:t>
      </w:r>
    </w:p>
    <w:p>
      <w:r>
        <w:br w:type="page"/>
      </w:r>
    </w:p>
    <w:p>
      <w:pPr>
        <w:pStyle w:val="Heading1"/>
        <w:spacing w:after="200" w:before="360"/>
      </w:pPr>
      <w:r>
        <w:rPr>
          <w:rFonts w:ascii="Arial" w:cs="Arial" w:eastAsia="Arial" w:hAnsi="Arial"/>
          <w:b/>
          <w:bCs/>
          <w:color w:val="003366"/>
          <w:sz w:val="32"/>
          <w:szCs w:val="32"/>
        </w:rPr>
        <w:t xml:space="preserve">11. Department Manager Information</w:t>
      </w:r>
    </w:p>
    <w:p>
      <w:pPr>
        <w:pStyle w:val="Heading2"/>
        <w:spacing w:after="160" w:before="280"/>
      </w:pPr>
      <w:r>
        <w:rPr>
          <w:rFonts w:ascii="Arial" w:cs="Arial" w:eastAsia="Arial" w:hAnsi="Arial"/>
          <w:b/>
          <w:bCs/>
          <w:color w:val="1F5C9E"/>
          <w:sz w:val="26"/>
          <w:szCs w:val="26"/>
        </w:rPr>
        <w:t xml:space="preserve">11.1 Manager – Customer Service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CDE0" w:sz="1"/>
              <w:left w:val="single" w:color="AECDE0" w:sz="1"/>
              <w:bottom w:val="single" w:color="AECDE0" w:sz="1"/>
              <w:right w:val="single" w:color="AECDE0" w:sz="1"/>
            </w:tcBorders>
            <w:shd w:fill="D6E4F0" w:color="auto"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Full Name</w:t>
            </w:r>
          </w:p>
        </w:tc>
        <w:tc>
          <w:tcPr>
            <w:tcW w:type="dxa" w:w="6560"/>
            <w:tcBorders>
              <w:top w:val="single" w:color="AECDE0" w:sz="1"/>
              <w:left w:val="single" w:color="AECDE0" w:sz="1"/>
              <w:bottom w:val="single" w:color="AECDE0" w:sz="1"/>
              <w:right w:val="single" w:color="AECDE0" w:sz="1"/>
            </w:tcBorders>
            <w:shd w:fill="FFFFFF"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Mr. Rajesh Kumar Nair</w:t>
            </w:r>
          </w:p>
        </w:tc>
      </w:tr>
      <w:tr>
        <w:tc>
          <w:tcPr>
            <w:tcW w:type="dxa" w:w="2800"/>
            <w:tcBorders>
              <w:top w:val="single" w:color="AECDE0" w:sz="1"/>
              <w:left w:val="single" w:color="AECDE0" w:sz="1"/>
              <w:bottom w:val="single" w:color="AECDE0" w:sz="1"/>
              <w:right w:val="single" w:color="AECDE0" w:sz="1"/>
            </w:tcBorders>
            <w:shd w:fill="D6E4F0" w:color="auto"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Designation</w:t>
            </w:r>
          </w:p>
        </w:tc>
        <w:tc>
          <w:tcPr>
            <w:tcW w:type="dxa" w:w="6560"/>
            <w:tcBorders>
              <w:top w:val="single" w:color="AECDE0" w:sz="1"/>
              <w:left w:val="single" w:color="AECDE0" w:sz="1"/>
              <w:bottom w:val="single" w:color="AECDE0" w:sz="1"/>
              <w:right w:val="single" w:color="AECDE0" w:sz="1"/>
            </w:tcBorders>
            <w:shd w:fill="FFFFFF"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Department Manager – Customer Service Operations</w:t>
            </w:r>
          </w:p>
        </w:tc>
      </w:tr>
      <w:tr>
        <w:tc>
          <w:tcPr>
            <w:tcW w:type="dxa" w:w="2800"/>
            <w:tcBorders>
              <w:top w:val="single" w:color="AECDE0" w:sz="1"/>
              <w:left w:val="single" w:color="AECDE0" w:sz="1"/>
              <w:bottom w:val="single" w:color="AECDE0" w:sz="1"/>
              <w:right w:val="single" w:color="AECDE0" w:sz="1"/>
            </w:tcBorders>
            <w:shd w:fill="D6E4F0" w:color="auto"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Employee ID</w:t>
            </w:r>
          </w:p>
        </w:tc>
        <w:tc>
          <w:tcPr>
            <w:tcW w:type="dxa" w:w="6560"/>
            <w:tcBorders>
              <w:top w:val="single" w:color="AECDE0" w:sz="1"/>
              <w:left w:val="single" w:color="AECDE0" w:sz="1"/>
              <w:bottom w:val="single" w:color="AECDE0" w:sz="1"/>
              <w:right w:val="single" w:color="AECDE0" w:sz="1"/>
            </w:tcBorders>
            <w:shd w:fill="FFFFFF"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FTB-CSD-MGR-001</w:t>
            </w:r>
          </w:p>
        </w:tc>
      </w:tr>
      <w:tr>
        <w:tc>
          <w:tcPr>
            <w:tcW w:type="dxa" w:w="2800"/>
            <w:tcBorders>
              <w:top w:val="single" w:color="AECDE0" w:sz="1"/>
              <w:left w:val="single" w:color="AECDE0" w:sz="1"/>
              <w:bottom w:val="single" w:color="AECDE0" w:sz="1"/>
              <w:right w:val="single" w:color="AECDE0" w:sz="1"/>
            </w:tcBorders>
            <w:shd w:fill="D6E4F0" w:color="auto"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Qualification</w:t>
            </w:r>
          </w:p>
        </w:tc>
        <w:tc>
          <w:tcPr>
            <w:tcW w:type="dxa" w:w="6560"/>
            <w:tcBorders>
              <w:top w:val="single" w:color="AECDE0" w:sz="1"/>
              <w:left w:val="single" w:color="AECDE0" w:sz="1"/>
              <w:bottom w:val="single" w:color="AECDE0" w:sz="1"/>
              <w:right w:val="single" w:color="AECDE0" w:sz="1"/>
            </w:tcBorders>
            <w:shd w:fill="FFFFFF"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MBA (Finance) – IIM Kozhikode; Certified Banking Manager (IIBF)</w:t>
            </w:r>
          </w:p>
        </w:tc>
      </w:tr>
      <w:tr>
        <w:tc>
          <w:tcPr>
            <w:tcW w:type="dxa" w:w="2800"/>
            <w:tcBorders>
              <w:top w:val="single" w:color="AECDE0" w:sz="1"/>
              <w:left w:val="single" w:color="AECDE0" w:sz="1"/>
              <w:bottom w:val="single" w:color="AECDE0" w:sz="1"/>
              <w:right w:val="single" w:color="AECDE0" w:sz="1"/>
            </w:tcBorders>
            <w:shd w:fill="D6E4F0" w:color="auto"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Experience</w:t>
            </w:r>
          </w:p>
        </w:tc>
        <w:tc>
          <w:tcPr>
            <w:tcW w:type="dxa" w:w="6560"/>
            <w:tcBorders>
              <w:top w:val="single" w:color="AECDE0" w:sz="1"/>
              <w:left w:val="single" w:color="AECDE0" w:sz="1"/>
              <w:bottom w:val="single" w:color="AECDE0" w:sz="1"/>
              <w:right w:val="single" w:color="AECDE0" w:sz="1"/>
            </w:tcBorders>
            <w:shd w:fill="FFFFFF"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18 years in Banking Operations (SBI 8 years, HDFC 5 years, FutureTrust 5 years)</w:t>
            </w:r>
          </w:p>
        </w:tc>
      </w:tr>
      <w:tr>
        <w:tc>
          <w:tcPr>
            <w:tcW w:type="dxa" w:w="2800"/>
            <w:tcBorders>
              <w:top w:val="single" w:color="AECDE0" w:sz="1"/>
              <w:left w:val="single" w:color="AECDE0" w:sz="1"/>
              <w:bottom w:val="single" w:color="AECDE0" w:sz="1"/>
              <w:right w:val="single" w:color="AECDE0" w:sz="1"/>
            </w:tcBorders>
            <w:shd w:fill="D6E4F0" w:color="auto"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Office Location</w:t>
            </w:r>
          </w:p>
        </w:tc>
        <w:tc>
          <w:tcPr>
            <w:tcW w:type="dxa" w:w="6560"/>
            <w:tcBorders>
              <w:top w:val="single" w:color="AECDE0" w:sz="1"/>
              <w:left w:val="single" w:color="AECDE0" w:sz="1"/>
              <w:bottom w:val="single" w:color="AECDE0" w:sz="1"/>
              <w:right w:val="single" w:color="AECDE0" w:sz="1"/>
            </w:tcBorders>
            <w:shd w:fill="FFFFFF"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Floor 7, FutureTrust Central Operations Hub, Hyderabad – 500032</w:t>
            </w:r>
          </w:p>
        </w:tc>
      </w:tr>
      <w:tr>
        <w:tc>
          <w:tcPr>
            <w:tcW w:type="dxa" w:w="2800"/>
            <w:tcBorders>
              <w:top w:val="single" w:color="AECDE0" w:sz="1"/>
              <w:left w:val="single" w:color="AECDE0" w:sz="1"/>
              <w:bottom w:val="single" w:color="AECDE0" w:sz="1"/>
              <w:right w:val="single" w:color="AECDE0" w:sz="1"/>
            </w:tcBorders>
            <w:shd w:fill="D6E4F0" w:color="auto"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Direct Number</w:t>
            </w:r>
          </w:p>
        </w:tc>
        <w:tc>
          <w:tcPr>
            <w:tcW w:type="dxa" w:w="6560"/>
            <w:tcBorders>
              <w:top w:val="single" w:color="AECDE0" w:sz="1"/>
              <w:left w:val="single" w:color="AECDE0" w:sz="1"/>
              <w:bottom w:val="single" w:color="AECDE0" w:sz="1"/>
              <w:right w:val="single" w:color="AECDE0" w:sz="1"/>
            </w:tcBorders>
            <w:shd w:fill="FFFFFF"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+91-40-6600-7001</w:t>
            </w:r>
          </w:p>
        </w:tc>
      </w:tr>
      <w:tr>
        <w:tc>
          <w:tcPr>
            <w:tcW w:type="dxa" w:w="2800"/>
            <w:tcBorders>
              <w:top w:val="single" w:color="AECDE0" w:sz="1"/>
              <w:left w:val="single" w:color="AECDE0" w:sz="1"/>
              <w:bottom w:val="single" w:color="AECDE0" w:sz="1"/>
              <w:right w:val="single" w:color="AECDE0" w:sz="1"/>
            </w:tcBorders>
            <w:shd w:fill="D6E4F0" w:color="auto"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Email</w:t>
            </w:r>
          </w:p>
        </w:tc>
        <w:tc>
          <w:tcPr>
            <w:tcW w:type="dxa" w:w="6560"/>
            <w:tcBorders>
              <w:top w:val="single" w:color="AECDE0" w:sz="1"/>
              <w:left w:val="single" w:color="AECDE0" w:sz="1"/>
              <w:bottom w:val="single" w:color="AECDE0" w:sz="1"/>
              <w:right w:val="single" w:color="AECDE0" w:sz="1"/>
            </w:tcBorders>
            <w:shd w:fill="FFFFFF"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rajesh.nair@futuretrustbank.in</w:t>
            </w:r>
          </w:p>
        </w:tc>
      </w:tr>
      <w:tr>
        <w:tc>
          <w:tcPr>
            <w:tcW w:type="dxa" w:w="2800"/>
            <w:tcBorders>
              <w:top w:val="single" w:color="AECDE0" w:sz="1"/>
              <w:left w:val="single" w:color="AECDE0" w:sz="1"/>
              <w:bottom w:val="single" w:color="AECDE0" w:sz="1"/>
              <w:right w:val="single" w:color="AECDE0" w:sz="1"/>
            </w:tcBorders>
            <w:shd w:fill="D6E4F0" w:color="auto"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Availability</w:t>
            </w:r>
          </w:p>
        </w:tc>
        <w:tc>
          <w:tcPr>
            <w:tcW w:type="dxa" w:w="6560"/>
            <w:tcBorders>
              <w:top w:val="single" w:color="AECDE0" w:sz="1"/>
              <w:left w:val="single" w:color="AECDE0" w:sz="1"/>
              <w:bottom w:val="single" w:color="AECDE0" w:sz="1"/>
              <w:right w:val="single" w:color="AECDE0" w:sz="1"/>
            </w:tcBorders>
            <w:shd w:fill="FFFFFF"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Monday–Saturday, 9:00 AM – 6:30 PM IST</w:t>
            </w:r>
          </w:p>
        </w:tc>
      </w:tr>
      <w:tr>
        <w:tc>
          <w:tcPr>
            <w:tcW w:type="dxa" w:w="2800"/>
            <w:tcBorders>
              <w:top w:val="single" w:color="AECDE0" w:sz="1"/>
              <w:left w:val="single" w:color="AECDE0" w:sz="1"/>
              <w:bottom w:val="single" w:color="AECDE0" w:sz="1"/>
              <w:right w:val="single" w:color="AECDE0" w:sz="1"/>
            </w:tcBorders>
            <w:shd w:fill="D6E4F0" w:color="auto"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Emergency Contact</w:t>
            </w:r>
          </w:p>
        </w:tc>
        <w:tc>
          <w:tcPr>
            <w:tcW w:type="dxa" w:w="6560"/>
            <w:tcBorders>
              <w:top w:val="single" w:color="AECDE0" w:sz="1"/>
              <w:left w:val="single" w:color="AECDE0" w:sz="1"/>
              <w:bottom w:val="single" w:color="AECDE0" w:sz="1"/>
              <w:right w:val="single" w:color="AECDE0" w:sz="1"/>
            </w:tcBorders>
            <w:shd w:fill="FFFFFF"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+91-98490-77001 (for critical escalations only)</w:t>
            </w:r>
          </w:p>
        </w:tc>
      </w:tr>
    </w:tbl>
    <w:p>
      <w:pPr>
        <w:spacing w:after="120" w:before="0"/>
      </w:pPr>
      <w:r>
        <w:t xml:space="preserve"/>
      </w:r>
    </w:p>
    <w:p>
      <w:pPr>
        <w:pStyle w:val="Heading2"/>
        <w:spacing w:after="160" w:before="280"/>
      </w:pPr>
      <w:r>
        <w:rPr>
          <w:rFonts w:ascii="Arial" w:cs="Arial" w:eastAsia="Arial" w:hAnsi="Arial"/>
          <w:b/>
          <w:bCs/>
          <w:color w:val="1F5C9E"/>
          <w:sz w:val="26"/>
          <w:szCs w:val="26"/>
        </w:rPr>
        <w:t xml:space="preserve">11.2 Manager – Quality, Training &amp;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CDE0" w:sz="1"/>
              <w:left w:val="single" w:color="AECDE0" w:sz="1"/>
              <w:bottom w:val="single" w:color="AECDE0" w:sz="1"/>
              <w:right w:val="single" w:color="AECDE0" w:sz="1"/>
            </w:tcBorders>
            <w:shd w:fill="D6E4F0" w:color="auto"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Full Name</w:t>
            </w:r>
          </w:p>
        </w:tc>
        <w:tc>
          <w:tcPr>
            <w:tcW w:type="dxa" w:w="6560"/>
            <w:tcBorders>
              <w:top w:val="single" w:color="AECDE0" w:sz="1"/>
              <w:left w:val="single" w:color="AECDE0" w:sz="1"/>
              <w:bottom w:val="single" w:color="AECDE0" w:sz="1"/>
              <w:right w:val="single" w:color="AECDE0" w:sz="1"/>
            </w:tcBorders>
            <w:shd w:fill="FFFFFF"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Ms. Priya Venkatesan</w:t>
            </w:r>
          </w:p>
        </w:tc>
      </w:tr>
      <w:tr>
        <w:tc>
          <w:tcPr>
            <w:tcW w:type="dxa" w:w="2800"/>
            <w:tcBorders>
              <w:top w:val="single" w:color="AECDE0" w:sz="1"/>
              <w:left w:val="single" w:color="AECDE0" w:sz="1"/>
              <w:bottom w:val="single" w:color="AECDE0" w:sz="1"/>
              <w:right w:val="single" w:color="AECDE0" w:sz="1"/>
            </w:tcBorders>
            <w:shd w:fill="D6E4F0" w:color="auto"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Designation</w:t>
            </w:r>
          </w:p>
        </w:tc>
        <w:tc>
          <w:tcPr>
            <w:tcW w:type="dxa" w:w="6560"/>
            <w:tcBorders>
              <w:top w:val="single" w:color="AECDE0" w:sz="1"/>
              <w:left w:val="single" w:color="AECDE0" w:sz="1"/>
              <w:bottom w:val="single" w:color="AECDE0" w:sz="1"/>
              <w:right w:val="single" w:color="AECDE0" w:sz="1"/>
            </w:tcBorders>
            <w:shd w:fill="FFFFFF"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Department Manager – Quality, Training &amp; Compliance</w:t>
            </w:r>
          </w:p>
        </w:tc>
      </w:tr>
      <w:tr>
        <w:tc>
          <w:tcPr>
            <w:tcW w:type="dxa" w:w="2800"/>
            <w:tcBorders>
              <w:top w:val="single" w:color="AECDE0" w:sz="1"/>
              <w:left w:val="single" w:color="AECDE0" w:sz="1"/>
              <w:bottom w:val="single" w:color="AECDE0" w:sz="1"/>
              <w:right w:val="single" w:color="AECDE0" w:sz="1"/>
            </w:tcBorders>
            <w:shd w:fill="D6E4F0" w:color="auto"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Employee ID</w:t>
            </w:r>
          </w:p>
        </w:tc>
        <w:tc>
          <w:tcPr>
            <w:tcW w:type="dxa" w:w="6560"/>
            <w:tcBorders>
              <w:top w:val="single" w:color="AECDE0" w:sz="1"/>
              <w:left w:val="single" w:color="AECDE0" w:sz="1"/>
              <w:bottom w:val="single" w:color="AECDE0" w:sz="1"/>
              <w:right w:val="single" w:color="AECDE0" w:sz="1"/>
            </w:tcBorders>
            <w:shd w:fill="FFFFFF"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FTB-CSD-MGR-002</w:t>
            </w:r>
          </w:p>
        </w:tc>
      </w:tr>
      <w:tr>
        <w:tc>
          <w:tcPr>
            <w:tcW w:type="dxa" w:w="2800"/>
            <w:tcBorders>
              <w:top w:val="single" w:color="AECDE0" w:sz="1"/>
              <w:left w:val="single" w:color="AECDE0" w:sz="1"/>
              <w:bottom w:val="single" w:color="AECDE0" w:sz="1"/>
              <w:right w:val="single" w:color="AECDE0" w:sz="1"/>
            </w:tcBorders>
            <w:shd w:fill="D6E4F0" w:color="auto"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Qualification</w:t>
            </w:r>
          </w:p>
        </w:tc>
        <w:tc>
          <w:tcPr>
            <w:tcW w:type="dxa" w:w="6560"/>
            <w:tcBorders>
              <w:top w:val="single" w:color="AECDE0" w:sz="1"/>
              <w:left w:val="single" w:color="AECDE0" w:sz="1"/>
              <w:bottom w:val="single" w:color="AECDE0" w:sz="1"/>
              <w:right w:val="single" w:color="AECDE0" w:sz="1"/>
            </w:tcBorders>
            <w:shd w:fill="FFFFFF"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M.Sc. (Statistics); CAIIB; CQPA (Certified Quality Professional in Banking)</w:t>
            </w:r>
          </w:p>
        </w:tc>
      </w:tr>
      <w:tr>
        <w:tc>
          <w:tcPr>
            <w:tcW w:type="dxa" w:w="2800"/>
            <w:tcBorders>
              <w:top w:val="single" w:color="AECDE0" w:sz="1"/>
              <w:left w:val="single" w:color="AECDE0" w:sz="1"/>
              <w:bottom w:val="single" w:color="AECDE0" w:sz="1"/>
              <w:right w:val="single" w:color="AECDE0" w:sz="1"/>
            </w:tcBorders>
            <w:shd w:fill="D6E4F0" w:color="auto"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Experience</w:t>
            </w:r>
          </w:p>
        </w:tc>
        <w:tc>
          <w:tcPr>
            <w:tcW w:type="dxa" w:w="6560"/>
            <w:tcBorders>
              <w:top w:val="single" w:color="AECDE0" w:sz="1"/>
              <w:left w:val="single" w:color="AECDE0" w:sz="1"/>
              <w:bottom w:val="single" w:color="AECDE0" w:sz="1"/>
              <w:right w:val="single" w:color="AECDE0" w:sz="1"/>
            </w:tcBorders>
            <w:shd w:fill="FFFFFF"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14 years – FutureTrust (6 years), Axis Bank (5 years), Kotak Mahindra (3 years)</w:t>
            </w:r>
          </w:p>
        </w:tc>
      </w:tr>
      <w:tr>
        <w:tc>
          <w:tcPr>
            <w:tcW w:type="dxa" w:w="2800"/>
            <w:tcBorders>
              <w:top w:val="single" w:color="AECDE0" w:sz="1"/>
              <w:left w:val="single" w:color="AECDE0" w:sz="1"/>
              <w:bottom w:val="single" w:color="AECDE0" w:sz="1"/>
              <w:right w:val="single" w:color="AECDE0" w:sz="1"/>
            </w:tcBorders>
            <w:shd w:fill="D6E4F0" w:color="auto"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Office Location</w:t>
            </w:r>
          </w:p>
        </w:tc>
        <w:tc>
          <w:tcPr>
            <w:tcW w:type="dxa" w:w="6560"/>
            <w:tcBorders>
              <w:top w:val="single" w:color="AECDE0" w:sz="1"/>
              <w:left w:val="single" w:color="AECDE0" w:sz="1"/>
              <w:bottom w:val="single" w:color="AECDE0" w:sz="1"/>
              <w:right w:val="single" w:color="AECDE0" w:sz="1"/>
            </w:tcBorders>
            <w:shd w:fill="FFFFFF"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Floor 7, FutureTrust Central Operations Hub, Hyderabad – 500032</w:t>
            </w:r>
          </w:p>
        </w:tc>
      </w:tr>
      <w:tr>
        <w:tc>
          <w:tcPr>
            <w:tcW w:type="dxa" w:w="2800"/>
            <w:tcBorders>
              <w:top w:val="single" w:color="AECDE0" w:sz="1"/>
              <w:left w:val="single" w:color="AECDE0" w:sz="1"/>
              <w:bottom w:val="single" w:color="AECDE0" w:sz="1"/>
              <w:right w:val="single" w:color="AECDE0" w:sz="1"/>
            </w:tcBorders>
            <w:shd w:fill="D6E4F0" w:color="auto"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Direct Number</w:t>
            </w:r>
          </w:p>
        </w:tc>
        <w:tc>
          <w:tcPr>
            <w:tcW w:type="dxa" w:w="6560"/>
            <w:tcBorders>
              <w:top w:val="single" w:color="AECDE0" w:sz="1"/>
              <w:left w:val="single" w:color="AECDE0" w:sz="1"/>
              <w:bottom w:val="single" w:color="AECDE0" w:sz="1"/>
              <w:right w:val="single" w:color="AECDE0" w:sz="1"/>
            </w:tcBorders>
            <w:shd w:fill="FFFFFF"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+91-40-6600-7002</w:t>
            </w:r>
          </w:p>
        </w:tc>
      </w:tr>
      <w:tr>
        <w:tc>
          <w:tcPr>
            <w:tcW w:type="dxa" w:w="2800"/>
            <w:tcBorders>
              <w:top w:val="single" w:color="AECDE0" w:sz="1"/>
              <w:left w:val="single" w:color="AECDE0" w:sz="1"/>
              <w:bottom w:val="single" w:color="AECDE0" w:sz="1"/>
              <w:right w:val="single" w:color="AECDE0" w:sz="1"/>
            </w:tcBorders>
            <w:shd w:fill="D6E4F0" w:color="auto"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Email</w:t>
            </w:r>
          </w:p>
        </w:tc>
        <w:tc>
          <w:tcPr>
            <w:tcW w:type="dxa" w:w="6560"/>
            <w:tcBorders>
              <w:top w:val="single" w:color="AECDE0" w:sz="1"/>
              <w:left w:val="single" w:color="AECDE0" w:sz="1"/>
              <w:bottom w:val="single" w:color="AECDE0" w:sz="1"/>
              <w:right w:val="single" w:color="AECDE0" w:sz="1"/>
            </w:tcBorders>
            <w:shd w:fill="FFFFFF"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priya.venkatesan@futuretrustbank.in</w:t>
            </w:r>
          </w:p>
        </w:tc>
      </w:tr>
      <w:tr>
        <w:tc>
          <w:tcPr>
            <w:tcW w:type="dxa" w:w="2800"/>
            <w:tcBorders>
              <w:top w:val="single" w:color="AECDE0" w:sz="1"/>
              <w:left w:val="single" w:color="AECDE0" w:sz="1"/>
              <w:bottom w:val="single" w:color="AECDE0" w:sz="1"/>
              <w:right w:val="single" w:color="AECDE0" w:sz="1"/>
            </w:tcBorders>
            <w:shd w:fill="D6E4F0" w:color="auto"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Availability</w:t>
            </w:r>
          </w:p>
        </w:tc>
        <w:tc>
          <w:tcPr>
            <w:tcW w:type="dxa" w:w="6560"/>
            <w:tcBorders>
              <w:top w:val="single" w:color="AECDE0" w:sz="1"/>
              <w:left w:val="single" w:color="AECDE0" w:sz="1"/>
              <w:bottom w:val="single" w:color="AECDE0" w:sz="1"/>
              <w:right w:val="single" w:color="AECDE0" w:sz="1"/>
            </w:tcBorders>
            <w:shd w:fill="FFFFFF"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Monday–Friday, 9:00 AM – 6:00 PM IST</w:t>
            </w:r>
          </w:p>
        </w:tc>
      </w:tr>
    </w:tbl>
    <w:p>
      <w:r>
        <w:br w:type="page"/>
      </w:r>
    </w:p>
    <w:p>
      <w:pPr>
        <w:pStyle w:val="Heading1"/>
        <w:spacing w:after="200" w:before="360"/>
      </w:pPr>
      <w:r>
        <w:rPr>
          <w:rFonts w:ascii="Arial" w:cs="Arial" w:eastAsia="Arial" w:hAnsi="Arial"/>
          <w:b/>
          <w:bCs/>
          <w:color w:val="003366"/>
          <w:sz w:val="32"/>
          <w:szCs w:val="32"/>
        </w:rPr>
        <w:t xml:space="preserve">12. Assistant Manager Information</w:t>
      </w:r>
    </w:p>
    <w:p>
      <w:pPr>
        <w:pStyle w:val="Heading2"/>
        <w:spacing w:after="160" w:before="280"/>
      </w:pPr>
      <w:r>
        <w:rPr>
          <w:rFonts w:ascii="Arial" w:cs="Arial" w:eastAsia="Arial" w:hAnsi="Arial"/>
          <w:b/>
          <w:bCs/>
          <w:color w:val="1F5C9E"/>
          <w:sz w:val="26"/>
          <w:szCs w:val="26"/>
        </w:rPr>
        <w:t xml:space="preserve">12.1 Assistant Manager – Inbound Operations (Phone &amp;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CDE0" w:sz="1"/>
              <w:left w:val="single" w:color="AECDE0" w:sz="1"/>
              <w:bottom w:val="single" w:color="AECDE0" w:sz="1"/>
              <w:right w:val="single" w:color="AECDE0" w:sz="1"/>
            </w:tcBorders>
            <w:shd w:fill="D6E4F0" w:color="auto"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Full Name</w:t>
            </w:r>
          </w:p>
        </w:tc>
        <w:tc>
          <w:tcPr>
            <w:tcW w:type="dxa" w:w="6560"/>
            <w:tcBorders>
              <w:top w:val="single" w:color="AECDE0" w:sz="1"/>
              <w:left w:val="single" w:color="AECDE0" w:sz="1"/>
              <w:bottom w:val="single" w:color="AECDE0" w:sz="1"/>
              <w:right w:val="single" w:color="AECDE0" w:sz="1"/>
            </w:tcBorders>
            <w:shd w:fill="FFFFFF"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Mr. Arjun Mehta</w:t>
            </w:r>
          </w:p>
        </w:tc>
      </w:tr>
      <w:tr>
        <w:tc>
          <w:tcPr>
            <w:tcW w:type="dxa" w:w="2800"/>
            <w:tcBorders>
              <w:top w:val="single" w:color="AECDE0" w:sz="1"/>
              <w:left w:val="single" w:color="AECDE0" w:sz="1"/>
              <w:bottom w:val="single" w:color="AECDE0" w:sz="1"/>
              <w:right w:val="single" w:color="AECDE0" w:sz="1"/>
            </w:tcBorders>
            <w:shd w:fill="D6E4F0" w:color="auto"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Employee ID</w:t>
            </w:r>
          </w:p>
        </w:tc>
        <w:tc>
          <w:tcPr>
            <w:tcW w:type="dxa" w:w="6560"/>
            <w:tcBorders>
              <w:top w:val="single" w:color="AECDE0" w:sz="1"/>
              <w:left w:val="single" w:color="AECDE0" w:sz="1"/>
              <w:bottom w:val="single" w:color="AECDE0" w:sz="1"/>
              <w:right w:val="single" w:color="AECDE0" w:sz="1"/>
            </w:tcBorders>
            <w:shd w:fill="FFFFFF"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FTB-CSD-AM-001</w:t>
            </w:r>
          </w:p>
        </w:tc>
      </w:tr>
      <w:tr>
        <w:tc>
          <w:tcPr>
            <w:tcW w:type="dxa" w:w="2800"/>
            <w:tcBorders>
              <w:top w:val="single" w:color="AECDE0" w:sz="1"/>
              <w:left w:val="single" w:color="AECDE0" w:sz="1"/>
              <w:bottom w:val="single" w:color="AECDE0" w:sz="1"/>
              <w:right w:val="single" w:color="AECDE0" w:sz="1"/>
            </w:tcBorders>
            <w:shd w:fill="D6E4F0" w:color="auto"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Direct Number</w:t>
            </w:r>
          </w:p>
        </w:tc>
        <w:tc>
          <w:tcPr>
            <w:tcW w:type="dxa" w:w="6560"/>
            <w:tcBorders>
              <w:top w:val="single" w:color="AECDE0" w:sz="1"/>
              <w:left w:val="single" w:color="AECDE0" w:sz="1"/>
              <w:bottom w:val="single" w:color="AECDE0" w:sz="1"/>
              <w:right w:val="single" w:color="AECDE0" w:sz="1"/>
            </w:tcBorders>
            <w:shd w:fill="FFFFFF"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+91-40-6600-7010</w:t>
            </w:r>
          </w:p>
        </w:tc>
      </w:tr>
      <w:tr>
        <w:tc>
          <w:tcPr>
            <w:tcW w:type="dxa" w:w="2800"/>
            <w:tcBorders>
              <w:top w:val="single" w:color="AECDE0" w:sz="1"/>
              <w:left w:val="single" w:color="AECDE0" w:sz="1"/>
              <w:bottom w:val="single" w:color="AECDE0" w:sz="1"/>
              <w:right w:val="single" w:color="AECDE0" w:sz="1"/>
            </w:tcBorders>
            <w:shd w:fill="D6E4F0" w:color="auto"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Email</w:t>
            </w:r>
          </w:p>
        </w:tc>
        <w:tc>
          <w:tcPr>
            <w:tcW w:type="dxa" w:w="6560"/>
            <w:tcBorders>
              <w:top w:val="single" w:color="AECDE0" w:sz="1"/>
              <w:left w:val="single" w:color="AECDE0" w:sz="1"/>
              <w:bottom w:val="single" w:color="AECDE0" w:sz="1"/>
              <w:right w:val="single" w:color="AECDE0" w:sz="1"/>
            </w:tcBorders>
            <w:shd w:fill="FFFFFF"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arjun.mehta@futuretrustbank.in</w:t>
            </w:r>
          </w:p>
        </w:tc>
      </w:tr>
      <w:tr>
        <w:tc>
          <w:tcPr>
            <w:tcW w:type="dxa" w:w="2800"/>
            <w:tcBorders>
              <w:top w:val="single" w:color="AECDE0" w:sz="1"/>
              <w:left w:val="single" w:color="AECDE0" w:sz="1"/>
              <w:bottom w:val="single" w:color="AECDE0" w:sz="1"/>
              <w:right w:val="single" w:color="AECDE0" w:sz="1"/>
            </w:tcBorders>
            <w:shd w:fill="D6E4F0" w:color="auto"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Shift</w:t>
            </w:r>
          </w:p>
        </w:tc>
        <w:tc>
          <w:tcPr>
            <w:tcW w:type="dxa" w:w="6560"/>
            <w:tcBorders>
              <w:top w:val="single" w:color="AECDE0" w:sz="1"/>
              <w:left w:val="single" w:color="AECDE0" w:sz="1"/>
              <w:bottom w:val="single" w:color="AECDE0" w:sz="1"/>
              <w:right w:val="single" w:color="AECDE0" w:sz="1"/>
            </w:tcBorders>
            <w:shd w:fill="FFFFFF"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Morning Shift: 7:00 AM – 4:00 PM IST</w:t>
            </w:r>
          </w:p>
        </w:tc>
      </w:tr>
    </w:tbl>
    <w:p>
      <w:pPr>
        <w:spacing w:after="120" w:before="0"/>
      </w:pPr>
      <w:r>
        <w:t xml:space="preserve"/>
      </w:r>
    </w:p>
    <w:p>
      <w:pPr>
        <w:pStyle w:val="Heading2"/>
        <w:spacing w:after="160" w:before="280"/>
      </w:pPr>
      <w:r>
        <w:rPr>
          <w:rFonts w:ascii="Arial" w:cs="Arial" w:eastAsia="Arial" w:hAnsi="Arial"/>
          <w:b/>
          <w:bCs/>
          <w:color w:val="1F5C9E"/>
          <w:sz w:val="26"/>
          <w:szCs w:val="26"/>
        </w:rPr>
        <w:t xml:space="preserve">12.2 Assistant Manager – Complaints &amp; CRO Supervision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CDE0" w:sz="1"/>
              <w:left w:val="single" w:color="AECDE0" w:sz="1"/>
              <w:bottom w:val="single" w:color="AECDE0" w:sz="1"/>
              <w:right w:val="single" w:color="AECDE0" w:sz="1"/>
            </w:tcBorders>
            <w:shd w:fill="D6E4F0" w:color="auto"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Full Name</w:t>
            </w:r>
          </w:p>
        </w:tc>
        <w:tc>
          <w:tcPr>
            <w:tcW w:type="dxa" w:w="6560"/>
            <w:tcBorders>
              <w:top w:val="single" w:color="AECDE0" w:sz="1"/>
              <w:left w:val="single" w:color="AECDE0" w:sz="1"/>
              <w:bottom w:val="single" w:color="AECDE0" w:sz="1"/>
              <w:right w:val="single" w:color="AECDE0" w:sz="1"/>
            </w:tcBorders>
            <w:shd w:fill="FFFFFF"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Ms. Sunita Reddy</w:t>
            </w:r>
          </w:p>
        </w:tc>
      </w:tr>
      <w:tr>
        <w:tc>
          <w:tcPr>
            <w:tcW w:type="dxa" w:w="2800"/>
            <w:tcBorders>
              <w:top w:val="single" w:color="AECDE0" w:sz="1"/>
              <w:left w:val="single" w:color="AECDE0" w:sz="1"/>
              <w:bottom w:val="single" w:color="AECDE0" w:sz="1"/>
              <w:right w:val="single" w:color="AECDE0" w:sz="1"/>
            </w:tcBorders>
            <w:shd w:fill="D6E4F0" w:color="auto"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Employee ID</w:t>
            </w:r>
          </w:p>
        </w:tc>
        <w:tc>
          <w:tcPr>
            <w:tcW w:type="dxa" w:w="6560"/>
            <w:tcBorders>
              <w:top w:val="single" w:color="AECDE0" w:sz="1"/>
              <w:left w:val="single" w:color="AECDE0" w:sz="1"/>
              <w:bottom w:val="single" w:color="AECDE0" w:sz="1"/>
              <w:right w:val="single" w:color="AECDE0" w:sz="1"/>
            </w:tcBorders>
            <w:shd w:fill="FFFFFF"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FTB-CSD-AM-002</w:t>
            </w:r>
          </w:p>
        </w:tc>
      </w:tr>
      <w:tr>
        <w:tc>
          <w:tcPr>
            <w:tcW w:type="dxa" w:w="2800"/>
            <w:tcBorders>
              <w:top w:val="single" w:color="AECDE0" w:sz="1"/>
              <w:left w:val="single" w:color="AECDE0" w:sz="1"/>
              <w:bottom w:val="single" w:color="AECDE0" w:sz="1"/>
              <w:right w:val="single" w:color="AECDE0" w:sz="1"/>
            </w:tcBorders>
            <w:shd w:fill="D6E4F0" w:color="auto"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Direct Number</w:t>
            </w:r>
          </w:p>
        </w:tc>
        <w:tc>
          <w:tcPr>
            <w:tcW w:type="dxa" w:w="6560"/>
            <w:tcBorders>
              <w:top w:val="single" w:color="AECDE0" w:sz="1"/>
              <w:left w:val="single" w:color="AECDE0" w:sz="1"/>
              <w:bottom w:val="single" w:color="AECDE0" w:sz="1"/>
              <w:right w:val="single" w:color="AECDE0" w:sz="1"/>
            </w:tcBorders>
            <w:shd w:fill="FFFFFF"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+91-40-6600-7011</w:t>
            </w:r>
          </w:p>
        </w:tc>
      </w:tr>
      <w:tr>
        <w:tc>
          <w:tcPr>
            <w:tcW w:type="dxa" w:w="2800"/>
            <w:tcBorders>
              <w:top w:val="single" w:color="AECDE0" w:sz="1"/>
              <w:left w:val="single" w:color="AECDE0" w:sz="1"/>
              <w:bottom w:val="single" w:color="AECDE0" w:sz="1"/>
              <w:right w:val="single" w:color="AECDE0" w:sz="1"/>
            </w:tcBorders>
            <w:shd w:fill="D6E4F0" w:color="auto"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Email</w:t>
            </w:r>
          </w:p>
        </w:tc>
        <w:tc>
          <w:tcPr>
            <w:tcW w:type="dxa" w:w="6560"/>
            <w:tcBorders>
              <w:top w:val="single" w:color="AECDE0" w:sz="1"/>
              <w:left w:val="single" w:color="AECDE0" w:sz="1"/>
              <w:bottom w:val="single" w:color="AECDE0" w:sz="1"/>
              <w:right w:val="single" w:color="AECDE0" w:sz="1"/>
            </w:tcBorders>
            <w:shd w:fill="FFFFFF"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sunita.reddy@futuretrustbank.in</w:t>
            </w:r>
          </w:p>
        </w:tc>
      </w:tr>
      <w:tr>
        <w:tc>
          <w:tcPr>
            <w:tcW w:type="dxa" w:w="2800"/>
            <w:tcBorders>
              <w:top w:val="single" w:color="AECDE0" w:sz="1"/>
              <w:left w:val="single" w:color="AECDE0" w:sz="1"/>
              <w:bottom w:val="single" w:color="AECDE0" w:sz="1"/>
              <w:right w:val="single" w:color="AECDE0" w:sz="1"/>
            </w:tcBorders>
            <w:shd w:fill="D6E4F0" w:color="auto"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Shift</w:t>
            </w:r>
          </w:p>
        </w:tc>
        <w:tc>
          <w:tcPr>
            <w:tcW w:type="dxa" w:w="6560"/>
            <w:tcBorders>
              <w:top w:val="single" w:color="AECDE0" w:sz="1"/>
              <w:left w:val="single" w:color="AECDE0" w:sz="1"/>
              <w:bottom w:val="single" w:color="AECDE0" w:sz="1"/>
              <w:right w:val="single" w:color="AECDE0" w:sz="1"/>
            </w:tcBorders>
            <w:shd w:fill="FFFFFF"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General Shift: 9:00 AM – 6:00 PM IST</w:t>
            </w:r>
          </w:p>
        </w:tc>
      </w:tr>
    </w:tbl>
    <w:p>
      <w:pPr>
        <w:spacing w:after="120" w:before="0"/>
      </w:pPr>
      <w:r>
        <w:t xml:space="preserve"/>
      </w:r>
    </w:p>
    <w:p>
      <w:pPr>
        <w:pStyle w:val="Heading2"/>
        <w:spacing w:after="160" w:before="280"/>
      </w:pPr>
      <w:r>
        <w:rPr>
          <w:rFonts w:ascii="Arial" w:cs="Arial" w:eastAsia="Arial" w:hAnsi="Arial"/>
          <w:b/>
          <w:bCs/>
          <w:color w:val="1F5C9E"/>
          <w:sz w:val="26"/>
          <w:szCs w:val="26"/>
        </w:rPr>
        <w:t xml:space="preserve">12.3 Assistant Manager – Digital Banking &amp; Fraud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CDE0" w:sz="1"/>
              <w:left w:val="single" w:color="AECDE0" w:sz="1"/>
              <w:bottom w:val="single" w:color="AECDE0" w:sz="1"/>
              <w:right w:val="single" w:color="AECDE0" w:sz="1"/>
            </w:tcBorders>
            <w:shd w:fill="D6E4F0" w:color="auto"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Full Name</w:t>
            </w:r>
          </w:p>
        </w:tc>
        <w:tc>
          <w:tcPr>
            <w:tcW w:type="dxa" w:w="6560"/>
            <w:tcBorders>
              <w:top w:val="single" w:color="AECDE0" w:sz="1"/>
              <w:left w:val="single" w:color="AECDE0" w:sz="1"/>
              <w:bottom w:val="single" w:color="AECDE0" w:sz="1"/>
              <w:right w:val="single" w:color="AECDE0" w:sz="1"/>
            </w:tcBorders>
            <w:shd w:fill="FFFFFF"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Mr. Kiran Dasgupta</w:t>
            </w:r>
          </w:p>
        </w:tc>
      </w:tr>
      <w:tr>
        <w:tc>
          <w:tcPr>
            <w:tcW w:type="dxa" w:w="2800"/>
            <w:tcBorders>
              <w:top w:val="single" w:color="AECDE0" w:sz="1"/>
              <w:left w:val="single" w:color="AECDE0" w:sz="1"/>
              <w:bottom w:val="single" w:color="AECDE0" w:sz="1"/>
              <w:right w:val="single" w:color="AECDE0" w:sz="1"/>
            </w:tcBorders>
            <w:shd w:fill="D6E4F0" w:color="auto"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Employee ID</w:t>
            </w:r>
          </w:p>
        </w:tc>
        <w:tc>
          <w:tcPr>
            <w:tcW w:type="dxa" w:w="6560"/>
            <w:tcBorders>
              <w:top w:val="single" w:color="AECDE0" w:sz="1"/>
              <w:left w:val="single" w:color="AECDE0" w:sz="1"/>
              <w:bottom w:val="single" w:color="AECDE0" w:sz="1"/>
              <w:right w:val="single" w:color="AECDE0" w:sz="1"/>
            </w:tcBorders>
            <w:shd w:fill="FFFFFF"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FTB-CSD-AM-003</w:t>
            </w:r>
          </w:p>
        </w:tc>
      </w:tr>
      <w:tr>
        <w:tc>
          <w:tcPr>
            <w:tcW w:type="dxa" w:w="2800"/>
            <w:tcBorders>
              <w:top w:val="single" w:color="AECDE0" w:sz="1"/>
              <w:left w:val="single" w:color="AECDE0" w:sz="1"/>
              <w:bottom w:val="single" w:color="AECDE0" w:sz="1"/>
              <w:right w:val="single" w:color="AECDE0" w:sz="1"/>
            </w:tcBorders>
            <w:shd w:fill="D6E4F0" w:color="auto"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Direct Number</w:t>
            </w:r>
          </w:p>
        </w:tc>
        <w:tc>
          <w:tcPr>
            <w:tcW w:type="dxa" w:w="6560"/>
            <w:tcBorders>
              <w:top w:val="single" w:color="AECDE0" w:sz="1"/>
              <w:left w:val="single" w:color="AECDE0" w:sz="1"/>
              <w:bottom w:val="single" w:color="AECDE0" w:sz="1"/>
              <w:right w:val="single" w:color="AECDE0" w:sz="1"/>
            </w:tcBorders>
            <w:shd w:fill="FFFFFF"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+91-40-6600-7012</w:t>
            </w:r>
          </w:p>
        </w:tc>
      </w:tr>
      <w:tr>
        <w:tc>
          <w:tcPr>
            <w:tcW w:type="dxa" w:w="2800"/>
            <w:tcBorders>
              <w:top w:val="single" w:color="AECDE0" w:sz="1"/>
              <w:left w:val="single" w:color="AECDE0" w:sz="1"/>
              <w:bottom w:val="single" w:color="AECDE0" w:sz="1"/>
              <w:right w:val="single" w:color="AECDE0" w:sz="1"/>
            </w:tcBorders>
            <w:shd w:fill="D6E4F0" w:color="auto"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Email</w:t>
            </w:r>
          </w:p>
        </w:tc>
        <w:tc>
          <w:tcPr>
            <w:tcW w:type="dxa" w:w="6560"/>
            <w:tcBorders>
              <w:top w:val="single" w:color="AECDE0" w:sz="1"/>
              <w:left w:val="single" w:color="AECDE0" w:sz="1"/>
              <w:bottom w:val="single" w:color="AECDE0" w:sz="1"/>
              <w:right w:val="single" w:color="AECDE0" w:sz="1"/>
            </w:tcBorders>
            <w:shd w:fill="FFFFFF"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kiran.dasgupta@futuretrustbank.in</w:t>
            </w:r>
          </w:p>
        </w:tc>
      </w:tr>
      <w:tr>
        <w:tc>
          <w:tcPr>
            <w:tcW w:type="dxa" w:w="2800"/>
            <w:tcBorders>
              <w:top w:val="single" w:color="AECDE0" w:sz="1"/>
              <w:left w:val="single" w:color="AECDE0" w:sz="1"/>
              <w:bottom w:val="single" w:color="AECDE0" w:sz="1"/>
              <w:right w:val="single" w:color="AECDE0" w:sz="1"/>
            </w:tcBorders>
            <w:shd w:fill="D6E4F0" w:color="auto"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Shift</w:t>
            </w:r>
          </w:p>
        </w:tc>
        <w:tc>
          <w:tcPr>
            <w:tcW w:type="dxa" w:w="6560"/>
            <w:tcBorders>
              <w:top w:val="single" w:color="AECDE0" w:sz="1"/>
              <w:left w:val="single" w:color="AECDE0" w:sz="1"/>
              <w:bottom w:val="single" w:color="AECDE0" w:sz="1"/>
              <w:right w:val="single" w:color="AECDE0" w:sz="1"/>
            </w:tcBorders>
            <w:shd w:fill="FFFFFF"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Evening Shift: 2:00 PM – 11:00 PM IST</w:t>
            </w:r>
          </w:p>
        </w:tc>
      </w:tr>
    </w:tbl>
    <w:p>
      <w:pPr>
        <w:spacing w:after="120" w:before="0"/>
      </w:pPr>
      <w:r>
        <w:t xml:space="preserve"/>
      </w:r>
    </w:p>
    <w:p>
      <w:pPr>
        <w:pStyle w:val="Heading2"/>
        <w:spacing w:after="160" w:before="280"/>
      </w:pPr>
      <w:r>
        <w:rPr>
          <w:rFonts w:ascii="Arial" w:cs="Arial" w:eastAsia="Arial" w:hAnsi="Arial"/>
          <w:b/>
          <w:bCs/>
          <w:color w:val="1F5C9E"/>
          <w:sz w:val="26"/>
          <w:szCs w:val="26"/>
        </w:rPr>
        <w:t xml:space="preserve">12.4 Assistant Manager – Night Operations &amp; NRI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CDE0" w:sz="1"/>
              <w:left w:val="single" w:color="AECDE0" w:sz="1"/>
              <w:bottom w:val="single" w:color="AECDE0" w:sz="1"/>
              <w:right w:val="single" w:color="AECDE0" w:sz="1"/>
            </w:tcBorders>
            <w:shd w:fill="D6E4F0" w:color="auto"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Full Name</w:t>
            </w:r>
          </w:p>
        </w:tc>
        <w:tc>
          <w:tcPr>
            <w:tcW w:type="dxa" w:w="6560"/>
            <w:tcBorders>
              <w:top w:val="single" w:color="AECDE0" w:sz="1"/>
              <w:left w:val="single" w:color="AECDE0" w:sz="1"/>
              <w:bottom w:val="single" w:color="AECDE0" w:sz="1"/>
              <w:right w:val="single" w:color="AECDE0" w:sz="1"/>
            </w:tcBorders>
            <w:shd w:fill="FFFFFF"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Ms. Fathima Zahra</w:t>
            </w:r>
          </w:p>
        </w:tc>
      </w:tr>
      <w:tr>
        <w:tc>
          <w:tcPr>
            <w:tcW w:type="dxa" w:w="2800"/>
            <w:tcBorders>
              <w:top w:val="single" w:color="AECDE0" w:sz="1"/>
              <w:left w:val="single" w:color="AECDE0" w:sz="1"/>
              <w:bottom w:val="single" w:color="AECDE0" w:sz="1"/>
              <w:right w:val="single" w:color="AECDE0" w:sz="1"/>
            </w:tcBorders>
            <w:shd w:fill="D6E4F0" w:color="auto"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Employee ID</w:t>
            </w:r>
          </w:p>
        </w:tc>
        <w:tc>
          <w:tcPr>
            <w:tcW w:type="dxa" w:w="6560"/>
            <w:tcBorders>
              <w:top w:val="single" w:color="AECDE0" w:sz="1"/>
              <w:left w:val="single" w:color="AECDE0" w:sz="1"/>
              <w:bottom w:val="single" w:color="AECDE0" w:sz="1"/>
              <w:right w:val="single" w:color="AECDE0" w:sz="1"/>
            </w:tcBorders>
            <w:shd w:fill="FFFFFF"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FTB-CSD-AM-004</w:t>
            </w:r>
          </w:p>
        </w:tc>
      </w:tr>
      <w:tr>
        <w:tc>
          <w:tcPr>
            <w:tcW w:type="dxa" w:w="2800"/>
            <w:tcBorders>
              <w:top w:val="single" w:color="AECDE0" w:sz="1"/>
              <w:left w:val="single" w:color="AECDE0" w:sz="1"/>
              <w:bottom w:val="single" w:color="AECDE0" w:sz="1"/>
              <w:right w:val="single" w:color="AECDE0" w:sz="1"/>
            </w:tcBorders>
            <w:shd w:fill="D6E4F0" w:color="auto"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Direct Number</w:t>
            </w:r>
          </w:p>
        </w:tc>
        <w:tc>
          <w:tcPr>
            <w:tcW w:type="dxa" w:w="6560"/>
            <w:tcBorders>
              <w:top w:val="single" w:color="AECDE0" w:sz="1"/>
              <w:left w:val="single" w:color="AECDE0" w:sz="1"/>
              <w:bottom w:val="single" w:color="AECDE0" w:sz="1"/>
              <w:right w:val="single" w:color="AECDE0" w:sz="1"/>
            </w:tcBorders>
            <w:shd w:fill="FFFFFF"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+91-40-6600-7013</w:t>
            </w:r>
          </w:p>
        </w:tc>
      </w:tr>
      <w:tr>
        <w:tc>
          <w:tcPr>
            <w:tcW w:type="dxa" w:w="2800"/>
            <w:tcBorders>
              <w:top w:val="single" w:color="AECDE0" w:sz="1"/>
              <w:left w:val="single" w:color="AECDE0" w:sz="1"/>
              <w:bottom w:val="single" w:color="AECDE0" w:sz="1"/>
              <w:right w:val="single" w:color="AECDE0" w:sz="1"/>
            </w:tcBorders>
            <w:shd w:fill="D6E4F0" w:color="auto"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Email</w:t>
            </w:r>
          </w:p>
        </w:tc>
        <w:tc>
          <w:tcPr>
            <w:tcW w:type="dxa" w:w="6560"/>
            <w:tcBorders>
              <w:top w:val="single" w:color="AECDE0" w:sz="1"/>
              <w:left w:val="single" w:color="AECDE0" w:sz="1"/>
              <w:bottom w:val="single" w:color="AECDE0" w:sz="1"/>
              <w:right w:val="single" w:color="AECDE0" w:sz="1"/>
            </w:tcBorders>
            <w:shd w:fill="FFFFFF"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fathima.zahra@futuretrustbank.in</w:t>
            </w:r>
          </w:p>
        </w:tc>
      </w:tr>
      <w:tr>
        <w:tc>
          <w:tcPr>
            <w:tcW w:type="dxa" w:w="2800"/>
            <w:tcBorders>
              <w:top w:val="single" w:color="AECDE0" w:sz="1"/>
              <w:left w:val="single" w:color="AECDE0" w:sz="1"/>
              <w:bottom w:val="single" w:color="AECDE0" w:sz="1"/>
              <w:right w:val="single" w:color="AECDE0" w:sz="1"/>
            </w:tcBorders>
            <w:shd w:fill="D6E4F0" w:color="auto"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Shift</w:t>
            </w:r>
          </w:p>
        </w:tc>
        <w:tc>
          <w:tcPr>
            <w:tcW w:type="dxa" w:w="6560"/>
            <w:tcBorders>
              <w:top w:val="single" w:color="AECDE0" w:sz="1"/>
              <w:left w:val="single" w:color="AECDE0" w:sz="1"/>
              <w:bottom w:val="single" w:color="AECDE0" w:sz="1"/>
              <w:right w:val="single" w:color="AECDE0" w:sz="1"/>
            </w:tcBorders>
            <w:shd w:fill="FFFFFF"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Night Shift: 10:00 PM – 7:00 AM IST</w:t>
            </w:r>
          </w:p>
        </w:tc>
      </w:tr>
    </w:tbl>
    <w:p>
      <w:r>
        <w:br w:type="page"/>
      </w:r>
    </w:p>
    <w:p>
      <w:pPr>
        <w:pStyle w:val="Heading1"/>
        <w:spacing w:after="200" w:before="360"/>
      </w:pPr>
      <w:r>
        <w:rPr>
          <w:rFonts w:ascii="Arial" w:cs="Arial" w:eastAsia="Arial" w:hAnsi="Arial"/>
          <w:b/>
          <w:bCs/>
          <w:color w:val="003366"/>
          <w:sz w:val="32"/>
          <w:szCs w:val="32"/>
        </w:rPr>
        <w:t xml:space="preserve">13. Department Contact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AECDE0" w:sz="1"/>
              <w:left w:val="single" w:color="AECDE0" w:sz="1"/>
              <w:bottom w:val="single" w:color="AECDE0" w:sz="1"/>
              <w:right w:val="single" w:color="AECDE0" w:sz="1"/>
            </w:tcBorders>
            <w:shd w:fill="00336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Channel</w:t>
            </w:r>
          </w:p>
        </w:tc>
        <w:tc>
          <w:tcPr>
            <w:tcW w:type="dxa" w:w="3180"/>
            <w:tcBorders>
              <w:top w:val="single" w:color="AECDE0" w:sz="1"/>
              <w:left w:val="single" w:color="AECDE0" w:sz="1"/>
              <w:bottom w:val="single" w:color="AECDE0" w:sz="1"/>
              <w:right w:val="single" w:color="AECDE0" w:sz="1"/>
            </w:tcBorders>
            <w:shd w:fill="00336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Contact Details</w:t>
            </w:r>
          </w:p>
        </w:tc>
        <w:tc>
          <w:tcPr>
            <w:tcW w:type="dxa" w:w="3180"/>
            <w:tcBorders>
              <w:top w:val="single" w:color="AECDE0" w:sz="1"/>
              <w:left w:val="single" w:color="AECDE0" w:sz="1"/>
              <w:bottom w:val="single" w:color="AECDE0" w:sz="1"/>
              <w:right w:val="single" w:color="AECDE0" w:sz="1"/>
            </w:tcBorders>
            <w:shd w:fill="00336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Availability</w:t>
            </w:r>
          </w:p>
        </w:tc>
      </w:tr>
      <w:tr>
        <w:tc>
          <w:tcPr>
            <w:tcW w:type="dxa" w:w="30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Customer Care Toll-Free</w:t>
            </w:r>
          </w:p>
        </w:tc>
        <w:tc>
          <w:tcPr>
            <w:tcW w:type="dxa" w:w="31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1800-FTB-CARE (1800-382-2273)</w:t>
            </w:r>
          </w:p>
        </w:tc>
        <w:tc>
          <w:tcPr>
            <w:tcW w:type="dxa" w:w="31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24×7, 365 days</w:t>
            </w:r>
          </w:p>
        </w:tc>
      </w:tr>
      <w:tr>
        <w:tc>
          <w:tcPr>
            <w:tcW w:type="dxa" w:w="30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Premium / Priority Banking</w:t>
            </w:r>
          </w:p>
        </w:tc>
        <w:tc>
          <w:tcPr>
            <w:tcW w:type="dxa" w:w="31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1800-FTB-PREM (1800-382-7736)</w:t>
            </w:r>
          </w:p>
        </w:tc>
        <w:tc>
          <w:tcPr>
            <w:tcW w:type="dxa" w:w="31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24×7</w:t>
            </w:r>
          </w:p>
        </w:tc>
      </w:tr>
      <w:tr>
        <w:tc>
          <w:tcPr>
            <w:tcW w:type="dxa" w:w="30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NRI Banking Helpline</w:t>
            </w:r>
          </w:p>
        </w:tc>
        <w:tc>
          <w:tcPr>
            <w:tcW w:type="dxa" w:w="31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+91-40-6600-9900 (ISD Chargeable)</w:t>
            </w:r>
          </w:p>
        </w:tc>
        <w:tc>
          <w:tcPr>
            <w:tcW w:type="dxa" w:w="31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24×7</w:t>
            </w:r>
          </w:p>
        </w:tc>
      </w:tr>
      <w:tr>
        <w:tc>
          <w:tcPr>
            <w:tcW w:type="dxa" w:w="30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Senior Citizen / Disability</w:t>
            </w:r>
          </w:p>
        </w:tc>
        <w:tc>
          <w:tcPr>
            <w:tcW w:type="dxa" w:w="31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1800-FTB-ABLE (1800-382-2253)</w:t>
            </w:r>
          </w:p>
        </w:tc>
        <w:tc>
          <w:tcPr>
            <w:tcW w:type="dxa" w:w="31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24×7</w:t>
            </w:r>
          </w:p>
        </w:tc>
      </w:tr>
      <w:tr>
        <w:tc>
          <w:tcPr>
            <w:tcW w:type="dxa" w:w="30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Fraud Emergency Hotline</w:t>
            </w:r>
          </w:p>
        </w:tc>
        <w:tc>
          <w:tcPr>
            <w:tcW w:type="dxa" w:w="31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1800-FTB-SAFE (1800-382-7233)</w:t>
            </w:r>
          </w:p>
        </w:tc>
        <w:tc>
          <w:tcPr>
            <w:tcW w:type="dxa" w:w="31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24×7, Priority</w:t>
            </w:r>
          </w:p>
        </w:tc>
      </w:tr>
      <w:tr>
        <w:tc>
          <w:tcPr>
            <w:tcW w:type="dxa" w:w="30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Email – General Queries</w:t>
            </w:r>
          </w:p>
        </w:tc>
        <w:tc>
          <w:tcPr>
            <w:tcW w:type="dxa" w:w="31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customercare@futuretrustbank.in</w:t>
            </w:r>
          </w:p>
        </w:tc>
        <w:tc>
          <w:tcPr>
            <w:tcW w:type="dxa" w:w="31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Response within 24 hours</w:t>
            </w:r>
          </w:p>
        </w:tc>
      </w:tr>
      <w:tr>
        <w:tc>
          <w:tcPr>
            <w:tcW w:type="dxa" w:w="30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Email – Complaints</w:t>
            </w:r>
          </w:p>
        </w:tc>
        <w:tc>
          <w:tcPr>
            <w:tcW w:type="dxa" w:w="31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complaints@futuretrustbank.in</w:t>
            </w:r>
          </w:p>
        </w:tc>
        <w:tc>
          <w:tcPr>
            <w:tcW w:type="dxa" w:w="31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Response within 2 hours</w:t>
            </w:r>
          </w:p>
        </w:tc>
      </w:tr>
      <w:tr>
        <w:tc>
          <w:tcPr>
            <w:tcW w:type="dxa" w:w="30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Email – NRI Desk</w:t>
            </w:r>
          </w:p>
        </w:tc>
        <w:tc>
          <w:tcPr>
            <w:tcW w:type="dxa" w:w="31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nri.support@futuretrustbank.in</w:t>
            </w:r>
          </w:p>
        </w:tc>
        <w:tc>
          <w:tcPr>
            <w:tcW w:type="dxa" w:w="31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Response within 4 hours</w:t>
            </w:r>
          </w:p>
        </w:tc>
      </w:tr>
      <w:tr>
        <w:tc>
          <w:tcPr>
            <w:tcW w:type="dxa" w:w="30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Live Chat</w:t>
            </w:r>
          </w:p>
        </w:tc>
        <w:tc>
          <w:tcPr>
            <w:tcW w:type="dxa" w:w="31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www.futuretrustbank.in / FuturePay App</w:t>
            </w:r>
          </w:p>
        </w:tc>
        <w:tc>
          <w:tcPr>
            <w:tcW w:type="dxa" w:w="31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6:00 AM – 11:00 PM IST</w:t>
            </w:r>
          </w:p>
        </w:tc>
      </w:tr>
      <w:tr>
        <w:tc>
          <w:tcPr>
            <w:tcW w:type="dxa" w:w="30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WhatsApp Banking</w:t>
            </w:r>
          </w:p>
        </w:tc>
        <w:tc>
          <w:tcPr>
            <w:tcW w:type="dxa" w:w="31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+91-70100-FTB00 (+91-70100-38200)</w:t>
            </w:r>
          </w:p>
        </w:tc>
        <w:tc>
          <w:tcPr>
            <w:tcW w:type="dxa" w:w="31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24×7 Automated; Human: 8 AM–10 PM</w:t>
            </w:r>
          </w:p>
        </w:tc>
      </w:tr>
      <w:tr>
        <w:tc>
          <w:tcPr>
            <w:tcW w:type="dxa" w:w="30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Head Office Address</w:t>
            </w:r>
          </w:p>
        </w:tc>
        <w:tc>
          <w:tcPr>
            <w:tcW w:type="dxa" w:w="31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FutureTrust Bank Ltd., CSD Central Hub, 7th Floor, Cyber Towers, Hitech City, Hyderabad – 500032</w:t>
            </w:r>
          </w:p>
        </w:tc>
        <w:tc>
          <w:tcPr>
            <w:tcW w:type="dxa" w:w="31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Mon–Sat: 9 AM – 6 PM</w:t>
            </w:r>
          </w:p>
        </w:tc>
      </w:tr>
    </w:tbl>
    <w:p>
      <w:r>
        <w:br w:type="page"/>
      </w:r>
    </w:p>
    <w:p>
      <w:pPr>
        <w:pStyle w:val="Heading1"/>
        <w:spacing w:after="200" w:before="360"/>
      </w:pPr>
      <w:r>
        <w:rPr>
          <w:rFonts w:ascii="Arial" w:cs="Arial" w:eastAsia="Arial" w:hAnsi="Arial"/>
          <w:b/>
          <w:bCs/>
          <w:color w:val="003366"/>
          <w:sz w:val="32"/>
          <w:szCs w:val="32"/>
        </w:rPr>
        <w:t xml:space="preserve">14. Frequently Asked Questions (FAQs)</w:t>
      </w:r>
    </w:p>
    <w:p>
      <w:pPr>
        <w:spacing w:after="80" w:before="80"/>
      </w:pPr>
      <w:r>
        <w:rPr>
          <w:rFonts w:ascii="Arial" w:cs="Arial" w:eastAsia="Arial" w:hAnsi="Arial"/>
          <w:b/>
          <w:bCs/>
          <w:color w:val="1F5C9E"/>
          <w:sz w:val="22"/>
          <w:szCs w:val="22"/>
        </w:rPr>
        <w:t xml:space="preserve">Q1. What are FutureTrust Bank's customer service hours?</w:t>
      </w:r>
    </w:p>
    <w:p>
      <w:pPr>
        <w:spacing w:after="80" w:before="80"/>
      </w:pPr>
      <w:r>
        <w:rPr>
          <w:rFonts w:ascii="Arial" w:cs="Arial" w:eastAsia="Arial" w:hAnsi="Arial"/>
          <w:color w:val="1A1A2E"/>
          <w:sz w:val="22"/>
          <w:szCs w:val="22"/>
        </w:rPr>
        <w:t xml:space="preserve">A: FutureTrust Bank's customer care helpline (1800-FTB-CARE) is available 24 hours a day, 7 days a week, 365 days a year including holidays. Live chat is available from 6:00 AM to 11:00 PM IST. WhatsApp automated banking is available 24/7, with human agents from 8:00 AM to 10:00 PM IST.</w:t>
      </w:r>
    </w:p>
    <w:p>
      <w:pPr>
        <w:spacing w:after="120" w:before="0"/>
      </w:pPr>
      <w:r>
        <w:t xml:space="preserve"/>
      </w:r>
    </w:p>
    <w:p>
      <w:pPr>
        <w:spacing w:after="80" w:before="80"/>
      </w:pPr>
      <w:r>
        <w:rPr>
          <w:rFonts w:ascii="Arial" w:cs="Arial" w:eastAsia="Arial" w:hAnsi="Arial"/>
          <w:b/>
          <w:bCs/>
          <w:color w:val="1F5C9E"/>
          <w:sz w:val="22"/>
          <w:szCs w:val="22"/>
        </w:rPr>
        <w:t xml:space="preserve">Q2. How do I block my debit card immediately?</w:t>
      </w:r>
    </w:p>
    <w:p>
      <w:pPr>
        <w:spacing w:after="80" w:before="80"/>
      </w:pPr>
      <w:r>
        <w:rPr>
          <w:rFonts w:ascii="Arial" w:cs="Arial" w:eastAsia="Arial" w:hAnsi="Arial"/>
          <w:color w:val="1A1A2E"/>
          <w:sz w:val="22"/>
          <w:szCs w:val="22"/>
        </w:rPr>
        <w:t xml:space="preserve">A: Call the Fraud Emergency Hotline at 1800-FTB-SAFE (24×7), or use the FuturePay Mobile App (Cards → Block Card), or log into NetBanking (Cards → Emergency Block). Your card is blocked within 60 seconds of authentication.</w:t>
      </w:r>
    </w:p>
    <w:p>
      <w:pPr>
        <w:spacing w:after="120" w:before="0"/>
      </w:pPr>
      <w:r>
        <w:t xml:space="preserve"/>
      </w:r>
    </w:p>
    <w:p>
      <w:pPr>
        <w:spacing w:after="80" w:before="80"/>
      </w:pPr>
      <w:r>
        <w:rPr>
          <w:rFonts w:ascii="Arial" w:cs="Arial" w:eastAsia="Arial" w:hAnsi="Arial"/>
          <w:b/>
          <w:bCs/>
          <w:color w:val="1F5C9E"/>
          <w:sz w:val="22"/>
          <w:szCs w:val="22"/>
        </w:rPr>
        <w:t xml:space="preserve">Q3. What documents do I need to open a savings account?</w:t>
      </w:r>
    </w:p>
    <w:p>
      <w:pPr>
        <w:spacing w:after="80" w:before="80"/>
      </w:pPr>
      <w:r>
        <w:rPr>
          <w:rFonts w:ascii="Arial" w:cs="Arial" w:eastAsia="Arial" w:hAnsi="Arial"/>
          <w:color w:val="1A1A2E"/>
          <w:sz w:val="22"/>
          <w:szCs w:val="22"/>
        </w:rPr>
        <w:t xml:space="preserve">A: You need one Officially Valid Document (OVD) for identity (Aadhaar, Passport, Voter ID, Driving Licence), one address proof, a PAN card or Form 60, one passport-size photograph, and the initial deposit amount if applicable.</w:t>
      </w:r>
    </w:p>
    <w:p>
      <w:pPr>
        <w:spacing w:after="120" w:before="0"/>
      </w:pPr>
      <w:r>
        <w:t xml:space="preserve"/>
      </w:r>
    </w:p>
    <w:p>
      <w:pPr>
        <w:spacing w:after="80" w:before="80"/>
      </w:pPr>
      <w:r>
        <w:rPr>
          <w:rFonts w:ascii="Arial" w:cs="Arial" w:eastAsia="Arial" w:hAnsi="Arial"/>
          <w:b/>
          <w:bCs/>
          <w:color w:val="1F5C9E"/>
          <w:sz w:val="22"/>
          <w:szCs w:val="22"/>
        </w:rPr>
        <w:t xml:space="preserve">Q4. How long does it take to resolve a transaction dispute?</w:t>
      </w:r>
    </w:p>
    <w:p>
      <w:pPr>
        <w:spacing w:after="80" w:before="80"/>
      </w:pPr>
      <w:r>
        <w:rPr>
          <w:rFonts w:ascii="Arial" w:cs="Arial" w:eastAsia="Arial" w:hAnsi="Arial"/>
          <w:color w:val="1A1A2E"/>
          <w:sz w:val="22"/>
          <w:szCs w:val="22"/>
        </w:rPr>
        <w:t xml:space="preserve">A: Domestic disputes are resolved within 7 business days. International disputes may take up to 45 days per network rules. A provisional credit may be issued within 24 hours for disputes under ₹10,000 that are clearly erroneous.</w:t>
      </w:r>
    </w:p>
    <w:p>
      <w:pPr>
        <w:spacing w:after="120" w:before="0"/>
      </w:pPr>
      <w:r>
        <w:t xml:space="preserve"/>
      </w:r>
    </w:p>
    <w:p>
      <w:pPr>
        <w:spacing w:after="80" w:before="80"/>
      </w:pPr>
      <w:r>
        <w:rPr>
          <w:rFonts w:ascii="Arial" w:cs="Arial" w:eastAsia="Arial" w:hAnsi="Arial"/>
          <w:b/>
          <w:bCs/>
          <w:color w:val="1F5C9E"/>
          <w:sz w:val="22"/>
          <w:szCs w:val="22"/>
        </w:rPr>
        <w:t xml:space="preserve">Q5. What is the minimum balance for a FutureTrust savings account?</w:t>
      </w:r>
    </w:p>
    <w:p>
      <w:pPr>
        <w:spacing w:after="80" w:before="80"/>
      </w:pPr>
      <w:r>
        <w:rPr>
          <w:rFonts w:ascii="Arial" w:cs="Arial" w:eastAsia="Arial" w:hAnsi="Arial"/>
          <w:color w:val="1A1A2E"/>
          <w:sz w:val="22"/>
          <w:szCs w:val="22"/>
        </w:rPr>
        <w:t xml:space="preserve">A: FutureTrust Bank's Basic Savings Bank Deposit Account (BSBD) requires zero minimum balance. The Premium Savings Account requires ₹25,000 AMB (urban), ₹15,000 (semi-urban), or ₹5,000 (rural).</w:t>
      </w:r>
    </w:p>
    <w:p>
      <w:pPr>
        <w:spacing w:after="120" w:before="0"/>
      </w:pPr>
      <w:r>
        <w:t xml:space="preserve"/>
      </w:r>
    </w:p>
    <w:p>
      <w:pPr>
        <w:spacing w:after="80" w:before="80"/>
      </w:pPr>
      <w:r>
        <w:rPr>
          <w:rFonts w:ascii="Arial" w:cs="Arial" w:eastAsia="Arial" w:hAnsi="Arial"/>
          <w:b/>
          <w:bCs/>
          <w:color w:val="1F5C9E"/>
          <w:sz w:val="22"/>
          <w:szCs w:val="22"/>
        </w:rPr>
        <w:t xml:space="preserve">Q6. How can I update my KYC details?</w:t>
      </w:r>
    </w:p>
    <w:p>
      <w:pPr>
        <w:spacing w:after="80" w:before="80"/>
      </w:pPr>
      <w:r>
        <w:rPr>
          <w:rFonts w:ascii="Arial" w:cs="Arial" w:eastAsia="Arial" w:hAnsi="Arial"/>
          <w:color w:val="1A1A2E"/>
          <w:sz w:val="22"/>
          <w:szCs w:val="22"/>
        </w:rPr>
        <w:t xml:space="preserve">A: Visit your nearest branch with original OVDs and photocopies, or use the Video KYC feature on the FuturePay Mobile App. Online KYC is available for Aadhaar-linked accounts. Updates are reflected within 3–5 working days.</w:t>
      </w:r>
    </w:p>
    <w:p>
      <w:pPr>
        <w:spacing w:after="120" w:before="0"/>
      </w:pPr>
      <w:r>
        <w:t xml:space="preserve"/>
      </w:r>
    </w:p>
    <w:p>
      <w:pPr>
        <w:spacing w:after="80" w:before="80"/>
      </w:pPr>
      <w:r>
        <w:rPr>
          <w:rFonts w:ascii="Arial" w:cs="Arial" w:eastAsia="Arial" w:hAnsi="Arial"/>
          <w:b/>
          <w:bCs/>
          <w:color w:val="1F5C9E"/>
          <w:sz w:val="22"/>
          <w:szCs w:val="22"/>
        </w:rPr>
        <w:t xml:space="preserve">Q7. How do I register for internet banking?</w:t>
      </w:r>
    </w:p>
    <w:p>
      <w:pPr>
        <w:spacing w:after="80" w:before="80"/>
      </w:pPr>
      <w:r>
        <w:rPr>
          <w:rFonts w:ascii="Arial" w:cs="Arial" w:eastAsia="Arial" w:hAnsi="Arial"/>
          <w:color w:val="1A1A2E"/>
          <w:sz w:val="22"/>
          <w:szCs w:val="22"/>
        </w:rPr>
        <w:t xml:space="preserve">A: Visit www.futuretrustbank.in, click 'Register for NetBanking,' enter your account number and registered mobile number, verify via OTP, and set your login ID and password. Alternatively, visit your branch or call 1800-FTB-CARE for assisted registration.</w:t>
      </w:r>
    </w:p>
    <w:p>
      <w:pPr>
        <w:spacing w:after="120" w:before="0"/>
      </w:pPr>
      <w:r>
        <w:t xml:space="preserve"/>
      </w:r>
    </w:p>
    <w:p>
      <w:pPr>
        <w:spacing w:after="80" w:before="80"/>
      </w:pPr>
      <w:r>
        <w:rPr>
          <w:rFonts w:ascii="Arial" w:cs="Arial" w:eastAsia="Arial" w:hAnsi="Arial"/>
          <w:b/>
          <w:bCs/>
          <w:color w:val="1F5C9E"/>
          <w:sz w:val="22"/>
          <w:szCs w:val="22"/>
        </w:rPr>
        <w:t xml:space="preserve">Q8. What is the charge for NEFT and RTGS transfers?</w:t>
      </w:r>
    </w:p>
    <w:p>
      <w:pPr>
        <w:spacing w:after="80" w:before="80"/>
      </w:pPr>
      <w:r>
        <w:rPr>
          <w:rFonts w:ascii="Arial" w:cs="Arial" w:eastAsia="Arial" w:hAnsi="Arial"/>
          <w:color w:val="1A1A2E"/>
          <w:sz w:val="22"/>
          <w:szCs w:val="22"/>
        </w:rPr>
        <w:t xml:space="preserve">A: NEFT transfers are free for all FutureTrust customers when transacted online. Branch-initiated NEFT may attract charges of ₹2–₹25 depending on amount. RTGS (minimum ₹2 lakhs) is free for online transactions; branch RTGS charges are ₹25–₹50.</w:t>
      </w:r>
    </w:p>
    <w:p>
      <w:pPr>
        <w:spacing w:after="120" w:before="0"/>
      </w:pPr>
      <w:r>
        <w:t xml:space="preserve"/>
      </w:r>
    </w:p>
    <w:p>
      <w:pPr>
        <w:spacing w:after="80" w:before="80"/>
      </w:pPr>
      <w:r>
        <w:rPr>
          <w:rFonts w:ascii="Arial" w:cs="Arial" w:eastAsia="Arial" w:hAnsi="Arial"/>
          <w:b/>
          <w:bCs/>
          <w:color w:val="1F5C9E"/>
          <w:sz w:val="22"/>
          <w:szCs w:val="22"/>
        </w:rPr>
        <w:t xml:space="preserve">Q9. How do I apply for a cheque book?</w:t>
      </w:r>
    </w:p>
    <w:p>
      <w:pPr>
        <w:spacing w:after="80" w:before="80"/>
      </w:pPr>
      <w:r>
        <w:rPr>
          <w:rFonts w:ascii="Arial" w:cs="Arial" w:eastAsia="Arial" w:hAnsi="Arial"/>
          <w:color w:val="1A1A2E"/>
          <w:sz w:val="22"/>
          <w:szCs w:val="22"/>
        </w:rPr>
        <w:t xml:space="preserve">A: Request via NetBanking (Services → Cheque Book Request), the FuturePay app, or by calling 1800-FTB-CARE. Standard delivery takes 7–10 working days. Branch pickup is available in 3 working days.</w:t>
      </w:r>
    </w:p>
    <w:p>
      <w:pPr>
        <w:spacing w:after="120" w:before="0"/>
      </w:pPr>
      <w:r>
        <w:t xml:space="preserve"/>
      </w:r>
    </w:p>
    <w:p>
      <w:pPr>
        <w:spacing w:after="80" w:before="80"/>
      </w:pPr>
      <w:r>
        <w:rPr>
          <w:rFonts w:ascii="Arial" w:cs="Arial" w:eastAsia="Arial" w:hAnsi="Arial"/>
          <w:b/>
          <w:bCs/>
          <w:color w:val="1F5C9E"/>
          <w:sz w:val="22"/>
          <w:szCs w:val="22"/>
        </w:rPr>
        <w:t xml:space="preserve">Q10. Can I change my registered mobile number online?</w:t>
      </w:r>
    </w:p>
    <w:p>
      <w:pPr>
        <w:spacing w:after="80" w:before="80"/>
      </w:pPr>
      <w:r>
        <w:rPr>
          <w:rFonts w:ascii="Arial" w:cs="Arial" w:eastAsia="Arial" w:hAnsi="Arial"/>
          <w:color w:val="1A1A2E"/>
          <w:sz w:val="22"/>
          <w:szCs w:val="22"/>
        </w:rPr>
        <w:t xml:space="preserve">A: Minor changes (same city) can be done via NetBanking with OTP verification. For a completely new mobile number, a branch visit with identity proof is required for security reasons.</w:t>
      </w:r>
    </w:p>
    <w:p>
      <w:pPr>
        <w:spacing w:after="120" w:before="0"/>
      </w:pPr>
      <w:r>
        <w:t xml:space="preserve"/>
      </w:r>
    </w:p>
    <w:p>
      <w:pPr>
        <w:spacing w:after="80" w:before="80"/>
      </w:pPr>
      <w:r>
        <w:rPr>
          <w:rFonts w:ascii="Arial" w:cs="Arial" w:eastAsia="Arial" w:hAnsi="Arial"/>
          <w:b/>
          <w:bCs/>
          <w:color w:val="1F5C9E"/>
          <w:sz w:val="22"/>
          <w:szCs w:val="22"/>
        </w:rPr>
        <w:t xml:space="preserve">Q11. What is the process for account closure?</w:t>
      </w:r>
    </w:p>
    <w:p>
      <w:pPr>
        <w:spacing w:after="80" w:before="80"/>
      </w:pPr>
      <w:r>
        <w:rPr>
          <w:rFonts w:ascii="Arial" w:cs="Arial" w:eastAsia="Arial" w:hAnsi="Arial"/>
          <w:color w:val="1A1A2E"/>
          <w:sz w:val="22"/>
          <w:szCs w:val="22"/>
        </w:rPr>
        <w:t xml:space="preserve">A: Submit a written closure request at your home branch. Ensure all linked services are cancelled, clear any outstanding dues, surrender your debit card and cheque book, and provide alternate bank details for balance transfer. Closure is completed within 7 working days.</w:t>
      </w:r>
    </w:p>
    <w:p>
      <w:pPr>
        <w:spacing w:after="120" w:before="0"/>
      </w:pPr>
      <w:r>
        <w:t xml:space="preserve"/>
      </w:r>
    </w:p>
    <w:p>
      <w:pPr>
        <w:spacing w:after="80" w:before="80"/>
      </w:pPr>
      <w:r>
        <w:rPr>
          <w:rFonts w:ascii="Arial" w:cs="Arial" w:eastAsia="Arial" w:hAnsi="Arial"/>
          <w:b/>
          <w:bCs/>
          <w:color w:val="1F5C9E"/>
          <w:sz w:val="22"/>
          <w:szCs w:val="22"/>
        </w:rPr>
        <w:t xml:space="preserve">Q12. How do I add a nominee to my account?</w:t>
      </w:r>
    </w:p>
    <w:p>
      <w:pPr>
        <w:spacing w:after="80" w:before="80"/>
      </w:pPr>
      <w:r>
        <w:rPr>
          <w:rFonts w:ascii="Arial" w:cs="Arial" w:eastAsia="Arial" w:hAnsi="Arial"/>
          <w:color w:val="1A1A2E"/>
          <w:sz w:val="22"/>
          <w:szCs w:val="22"/>
        </w:rPr>
        <w:t xml:space="preserve">A: Submit completed Form DA1 at your branch or upload it via NetBanking under Account Services. You will need the nominee's identity details. Acknowledgment is sent within 5 working days.</w:t>
      </w:r>
    </w:p>
    <w:p>
      <w:pPr>
        <w:spacing w:after="120" w:before="0"/>
      </w:pPr>
      <w:r>
        <w:t xml:space="preserve"/>
      </w:r>
    </w:p>
    <w:p>
      <w:pPr>
        <w:spacing w:after="80" w:before="80"/>
      </w:pPr>
      <w:r>
        <w:rPr>
          <w:rFonts w:ascii="Arial" w:cs="Arial" w:eastAsia="Arial" w:hAnsi="Arial"/>
          <w:b/>
          <w:bCs/>
          <w:color w:val="1F5C9E"/>
          <w:sz w:val="22"/>
          <w:szCs w:val="22"/>
        </w:rPr>
        <w:t xml:space="preserve">Q13. What should I do if my OTP is not received?</w:t>
      </w:r>
    </w:p>
    <w:p>
      <w:pPr>
        <w:spacing w:after="80" w:before="80"/>
      </w:pPr>
      <w:r>
        <w:rPr>
          <w:rFonts w:ascii="Arial" w:cs="Arial" w:eastAsia="Arial" w:hAnsi="Arial"/>
          <w:color w:val="1A1A2E"/>
          <w:sz w:val="22"/>
          <w:szCs w:val="22"/>
        </w:rPr>
        <w:t xml:space="preserve">A: Check your network signal and wait 3 minutes before resending. Ensure your registered mobile number is active. If the number is inactive, visit your branch to update it. You can also use missed call banking or email OTP as an alternative.</w:t>
      </w:r>
    </w:p>
    <w:p>
      <w:pPr>
        <w:spacing w:after="120" w:before="0"/>
      </w:pPr>
      <w:r>
        <w:t xml:space="preserve"/>
      </w:r>
    </w:p>
    <w:p>
      <w:pPr>
        <w:spacing w:after="80" w:before="80"/>
      </w:pPr>
      <w:r>
        <w:rPr>
          <w:rFonts w:ascii="Arial" w:cs="Arial" w:eastAsia="Arial" w:hAnsi="Arial"/>
          <w:b/>
          <w:bCs/>
          <w:color w:val="1F5C9E"/>
          <w:sz w:val="22"/>
          <w:szCs w:val="22"/>
        </w:rPr>
        <w:t xml:space="preserve">Q14. How do I raise a complaint against FutureTrust Bank?</w:t>
      </w:r>
    </w:p>
    <w:p>
      <w:pPr>
        <w:spacing w:after="80" w:before="80"/>
      </w:pPr>
      <w:r>
        <w:rPr>
          <w:rFonts w:ascii="Arial" w:cs="Arial" w:eastAsia="Arial" w:hAnsi="Arial"/>
          <w:color w:val="1A1A2E"/>
          <w:sz w:val="22"/>
          <w:szCs w:val="22"/>
        </w:rPr>
        <w:t xml:space="preserve">A: Call 1800-FTB-CARE, email complaints@futuretrustbank.in, use the complaint section in the FuturePay App, or visit your nearest branch. If unresolved after 30 days, you may approach the RBI Banking Ombudsman.</w:t>
      </w:r>
    </w:p>
    <w:p>
      <w:pPr>
        <w:spacing w:after="120" w:before="0"/>
      </w:pPr>
      <w:r>
        <w:t xml:space="preserve"/>
      </w:r>
    </w:p>
    <w:p>
      <w:pPr>
        <w:spacing w:after="80" w:before="80"/>
      </w:pPr>
      <w:r>
        <w:rPr>
          <w:rFonts w:ascii="Arial" w:cs="Arial" w:eastAsia="Arial" w:hAnsi="Arial"/>
          <w:b/>
          <w:bCs/>
          <w:color w:val="1F5C9E"/>
          <w:sz w:val="22"/>
          <w:szCs w:val="22"/>
        </w:rPr>
        <w:t xml:space="preserve">Q15. What are the charges for a physical account statement?</w:t>
      </w:r>
    </w:p>
    <w:p>
      <w:pPr>
        <w:spacing w:after="80" w:before="80"/>
      </w:pPr>
      <w:r>
        <w:rPr>
          <w:rFonts w:ascii="Arial" w:cs="Arial" w:eastAsia="Arial" w:hAnsi="Arial"/>
          <w:color w:val="1A1A2E"/>
          <w:sz w:val="22"/>
          <w:szCs w:val="22"/>
        </w:rPr>
        <w:t xml:space="preserve">A: A physical account statement costs ₹100 per request and is dispatched within 5 working days. Email statements are free and generated within 30 minutes of request.</w:t>
      </w:r>
    </w:p>
    <w:p>
      <w:pPr>
        <w:spacing w:after="120" w:before="0"/>
      </w:pPr>
      <w:r>
        <w:t xml:space="preserve"/>
      </w:r>
    </w:p>
    <w:p>
      <w:r>
        <w:br w:type="page"/>
      </w:r>
    </w:p>
    <w:p>
      <w:pPr>
        <w:pStyle w:val="Heading1"/>
        <w:spacing w:after="200" w:before="360"/>
      </w:pPr>
      <w:r>
        <w:rPr>
          <w:rFonts w:ascii="Arial" w:cs="Arial" w:eastAsia="Arial" w:hAnsi="Arial"/>
          <w:b/>
          <w:bCs/>
          <w:color w:val="003366"/>
          <w:sz w:val="32"/>
          <w:szCs w:val="32"/>
        </w:rPr>
        <w:t xml:space="preserve">15. Advanced Customer Scenarios</w:t>
      </w:r>
    </w:p>
    <w:p>
      <w:pPr>
        <w:pStyle w:val="Heading2"/>
        <w:spacing w:after="160" w:before="280"/>
      </w:pPr>
      <w:r>
        <w:rPr>
          <w:rFonts w:ascii="Arial" w:cs="Arial" w:eastAsia="Arial" w:hAnsi="Arial"/>
          <w:b/>
          <w:bCs/>
          <w:color w:val="1F5C9E"/>
          <w:sz w:val="26"/>
          <w:szCs w:val="26"/>
        </w:rPr>
        <w:t xml:space="preserve">Scenario 1: NRI Customer – Account Access from Abroad</w:t>
      </w:r>
    </w:p>
    <w:p>
      <w:pPr>
        <w:spacing w:after="80" w:before="80"/>
      </w:pPr>
      <w:r>
        <w:rPr>
          <w:rFonts w:ascii="Arial" w:cs="Arial" w:eastAsia="Arial" w:hAnsi="Arial"/>
          <w:color w:val="1A1A2E"/>
          <w:sz w:val="22"/>
          <w:szCs w:val="22"/>
        </w:rPr>
        <w:t xml:space="preserve">Situation: An NRI customer in the USA calls at 2:00 AM IST reporting they cannot access their NRE account online.</w:t>
      </w:r>
    </w:p>
    <w:p>
      <w:pPr>
        <w:spacing w:after="80" w:before="80"/>
      </w:pPr>
      <w:r>
        <w:rPr>
          <w:rFonts w:ascii="Arial" w:cs="Arial" w:eastAsia="Arial" w:hAnsi="Arial"/>
          <w:color w:val="1A1A2E"/>
          <w:sz w:val="22"/>
          <w:szCs w:val="22"/>
        </w:rPr>
        <w:t xml:space="preserve">Resolution Path:</w:t>
      </w:r>
    </w:p>
    <w:p>
      <w:pPr>
        <w:pStyle w:val="ListParagraph"/>
        <w:numPr>
          <w:ilvl w:val="0"/>
          <w:numId w:val="3"/>
        </w:numPr>
        <w:spacing w:after="60" w:before="60"/>
      </w:pPr>
      <w:r>
        <w:rPr>
          <w:rFonts w:ascii="Arial" w:cs="Arial" w:eastAsia="Arial" w:hAnsi="Arial"/>
          <w:color w:val="1A1A2E"/>
          <w:sz w:val="22"/>
          <w:szCs w:val="22"/>
        </w:rPr>
        <w:t xml:space="preserve">Authenticate via international security protocol (passport number + date of birth + last transaction)</w:t>
      </w:r>
    </w:p>
    <w:p>
      <w:pPr>
        <w:pStyle w:val="ListParagraph"/>
        <w:numPr>
          <w:ilvl w:val="0"/>
          <w:numId w:val="3"/>
        </w:numPr>
        <w:spacing w:after="60" w:before="60"/>
      </w:pPr>
      <w:r>
        <w:rPr>
          <w:rFonts w:ascii="Arial" w:cs="Arial" w:eastAsia="Arial" w:hAnsi="Arial"/>
          <w:color w:val="1A1A2E"/>
          <w:sz w:val="22"/>
          <w:szCs w:val="22"/>
        </w:rPr>
        <w:t xml:space="preserve">Check if account is locked due to multiple failed login attempts</w:t>
      </w:r>
    </w:p>
    <w:p>
      <w:pPr>
        <w:pStyle w:val="ListParagraph"/>
        <w:numPr>
          <w:ilvl w:val="0"/>
          <w:numId w:val="3"/>
        </w:numPr>
        <w:spacing w:after="60" w:before="60"/>
      </w:pPr>
      <w:r>
        <w:rPr>
          <w:rFonts w:ascii="Arial" w:cs="Arial" w:eastAsia="Arial" w:hAnsi="Arial"/>
          <w:color w:val="1A1A2E"/>
          <w:sz w:val="22"/>
          <w:szCs w:val="22"/>
        </w:rPr>
        <w:t xml:space="preserve">If locked: unlock via CBS and guide to reset password via NetBanking without India mobile number</w:t>
      </w:r>
    </w:p>
    <w:p>
      <w:pPr>
        <w:pStyle w:val="ListParagraph"/>
        <w:numPr>
          <w:ilvl w:val="0"/>
          <w:numId w:val="3"/>
        </w:numPr>
        <w:spacing w:after="60" w:before="60"/>
      </w:pPr>
      <w:r>
        <w:rPr>
          <w:rFonts w:ascii="Arial" w:cs="Arial" w:eastAsia="Arial" w:hAnsi="Arial"/>
          <w:color w:val="1A1A2E"/>
          <w:sz w:val="22"/>
          <w:szCs w:val="22"/>
        </w:rPr>
        <w:t xml:space="preserve">Offer to enable international login using email OTP fallback</w:t>
      </w:r>
    </w:p>
    <w:p>
      <w:pPr>
        <w:pStyle w:val="ListParagraph"/>
        <w:numPr>
          <w:ilvl w:val="0"/>
          <w:numId w:val="3"/>
        </w:numPr>
        <w:spacing w:after="60" w:before="60"/>
      </w:pPr>
      <w:r>
        <w:rPr>
          <w:rFonts w:ascii="Arial" w:cs="Arial" w:eastAsia="Arial" w:hAnsi="Arial"/>
          <w:color w:val="1A1A2E"/>
          <w:sz w:val="22"/>
          <w:szCs w:val="22"/>
        </w:rPr>
        <w:t xml:space="preserve">If account frozen for KYC: guide to email nri.support@futuretrustbank.in with scanned documents</w:t>
      </w:r>
    </w:p>
    <w:p>
      <w:pPr>
        <w:pStyle w:val="ListParagraph"/>
        <w:numPr>
          <w:ilvl w:val="0"/>
          <w:numId w:val="3"/>
        </w:numPr>
        <w:spacing w:after="60" w:before="60"/>
      </w:pPr>
      <w:r>
        <w:rPr>
          <w:rFonts w:ascii="Arial" w:cs="Arial" w:eastAsia="Arial" w:hAnsi="Arial"/>
          <w:color w:val="1A1A2E"/>
          <w:sz w:val="22"/>
          <w:szCs w:val="22"/>
        </w:rPr>
        <w:t xml:space="preserve">Escalate to NRI Desk AM (Fathima Zahra) if unresolved within 20 minutes</w:t>
      </w:r>
    </w:p>
    <w:p>
      <w:pPr>
        <w:spacing w:after="120" w:before="0"/>
      </w:pPr>
      <w:r>
        <w:t xml:space="preserve"/>
      </w:r>
    </w:p>
    <w:p>
      <w:pPr>
        <w:pStyle w:val="Heading2"/>
        <w:spacing w:after="160" w:before="280"/>
      </w:pPr>
      <w:r>
        <w:rPr>
          <w:rFonts w:ascii="Arial" w:cs="Arial" w:eastAsia="Arial" w:hAnsi="Arial"/>
          <w:b/>
          <w:bCs/>
          <w:color w:val="1F5C9E"/>
          <w:sz w:val="26"/>
          <w:szCs w:val="26"/>
        </w:rPr>
        <w:t xml:space="preserve">Scenario 2: Senior Citizen – Suspected Phone Fraud</w:t>
      </w:r>
    </w:p>
    <w:p>
      <w:pPr>
        <w:spacing w:after="80" w:before="80"/>
      </w:pPr>
      <w:r>
        <w:rPr>
          <w:rFonts w:ascii="Arial" w:cs="Arial" w:eastAsia="Arial" w:hAnsi="Arial"/>
          <w:color w:val="1A1A2E"/>
          <w:sz w:val="22"/>
          <w:szCs w:val="22"/>
        </w:rPr>
        <w:t xml:space="preserve">Situation: An 72-year-old customer calls saying someone claiming to be a bank officer asked for her debit card number and OTP.</w:t>
      </w:r>
    </w:p>
    <w:p>
      <w:pPr>
        <w:spacing w:after="80" w:before="80"/>
      </w:pPr>
      <w:r>
        <w:rPr>
          <w:rFonts w:ascii="Arial" w:cs="Arial" w:eastAsia="Arial" w:hAnsi="Arial"/>
          <w:color w:val="1A1A2E"/>
          <w:sz w:val="22"/>
          <w:szCs w:val="22"/>
        </w:rPr>
        <w:t xml:space="preserve">Resolution Path:</w:t>
      </w:r>
    </w:p>
    <w:p>
      <w:pPr>
        <w:pStyle w:val="ListParagraph"/>
        <w:numPr>
          <w:ilvl w:val="0"/>
          <w:numId w:val="3"/>
        </w:numPr>
        <w:spacing w:after="60" w:before="60"/>
      </w:pPr>
      <w:r>
        <w:rPr>
          <w:rFonts w:ascii="Arial" w:cs="Arial" w:eastAsia="Arial" w:hAnsi="Arial"/>
          <w:color w:val="1A1A2E"/>
          <w:sz w:val="22"/>
          <w:szCs w:val="22"/>
        </w:rPr>
        <w:t xml:space="preserve">Immediately assure the customer she has done the right thing by calling the bank</w:t>
      </w:r>
    </w:p>
    <w:p>
      <w:pPr>
        <w:pStyle w:val="ListParagraph"/>
        <w:numPr>
          <w:ilvl w:val="0"/>
          <w:numId w:val="3"/>
        </w:numPr>
        <w:spacing w:after="60" w:before="60"/>
      </w:pPr>
      <w:r>
        <w:rPr>
          <w:rFonts w:ascii="Arial" w:cs="Arial" w:eastAsia="Arial" w:hAnsi="Arial"/>
          <w:color w:val="1A1A2E"/>
          <w:sz w:val="22"/>
          <w:szCs w:val="22"/>
        </w:rPr>
        <w:t xml:space="preserve">Authenticate the customer using DOB and account number</w:t>
      </w:r>
    </w:p>
    <w:p>
      <w:pPr>
        <w:pStyle w:val="ListParagraph"/>
        <w:numPr>
          <w:ilvl w:val="0"/>
          <w:numId w:val="3"/>
        </w:numPr>
        <w:spacing w:after="60" w:before="60"/>
      </w:pPr>
      <w:r>
        <w:rPr>
          <w:rFonts w:ascii="Arial" w:cs="Arial" w:eastAsia="Arial" w:hAnsi="Arial"/>
          <w:color w:val="1A1A2E"/>
          <w:sz w:val="22"/>
          <w:szCs w:val="22"/>
        </w:rPr>
        <w:t xml:space="preserve">Check if any unauthorized transactions have already occurred</w:t>
      </w:r>
    </w:p>
    <w:p>
      <w:pPr>
        <w:pStyle w:val="ListParagraph"/>
        <w:numPr>
          <w:ilvl w:val="0"/>
          <w:numId w:val="3"/>
        </w:numPr>
        <w:spacing w:after="60" w:before="60"/>
      </w:pPr>
      <w:r>
        <w:rPr>
          <w:rFonts w:ascii="Arial" w:cs="Arial" w:eastAsia="Arial" w:hAnsi="Arial"/>
          <w:color w:val="1A1A2E"/>
          <w:sz w:val="22"/>
          <w:szCs w:val="22"/>
        </w:rPr>
        <w:t xml:space="preserve">If transactions found: block account immediately, raise fraud case, initiate provisional credit process</w:t>
      </w:r>
    </w:p>
    <w:p>
      <w:pPr>
        <w:pStyle w:val="ListParagraph"/>
        <w:numPr>
          <w:ilvl w:val="0"/>
          <w:numId w:val="3"/>
        </w:numPr>
        <w:spacing w:after="60" w:before="60"/>
      </w:pPr>
      <w:r>
        <w:rPr>
          <w:rFonts w:ascii="Arial" w:cs="Arial" w:eastAsia="Arial" w:hAnsi="Arial"/>
          <w:color w:val="1A1A2E"/>
          <w:sz w:val="22"/>
          <w:szCs w:val="22"/>
        </w:rPr>
        <w:t xml:space="preserve">If no transactions: advise to change PIN immediately, flag account for monitoring</w:t>
      </w:r>
    </w:p>
    <w:p>
      <w:pPr>
        <w:pStyle w:val="ListParagraph"/>
        <w:numPr>
          <w:ilvl w:val="0"/>
          <w:numId w:val="3"/>
        </w:numPr>
        <w:spacing w:after="60" w:before="60"/>
      </w:pPr>
      <w:r>
        <w:rPr>
          <w:rFonts w:ascii="Arial" w:cs="Arial" w:eastAsia="Arial" w:hAnsi="Arial"/>
          <w:color w:val="1A1A2E"/>
          <w:sz w:val="22"/>
          <w:szCs w:val="22"/>
        </w:rPr>
        <w:t xml:space="preserve">Document incident in CAMS with caller details (if known) and report to Cybercrime team</w:t>
      </w:r>
    </w:p>
    <w:p>
      <w:pPr>
        <w:pStyle w:val="ListParagraph"/>
        <w:numPr>
          <w:ilvl w:val="0"/>
          <w:numId w:val="3"/>
        </w:numPr>
        <w:spacing w:after="60" w:before="60"/>
      </w:pPr>
      <w:r>
        <w:rPr>
          <w:rFonts w:ascii="Arial" w:cs="Arial" w:eastAsia="Arial" w:hAnsi="Arial"/>
          <w:color w:val="1A1A2E"/>
          <w:sz w:val="22"/>
          <w:szCs w:val="22"/>
        </w:rPr>
        <w:t xml:space="preserve">File complaint advisory – guide customer to file police report</w:t>
      </w:r>
    </w:p>
    <w:p>
      <w:pPr>
        <w:pStyle w:val="ListParagraph"/>
        <w:numPr>
          <w:ilvl w:val="0"/>
          <w:numId w:val="3"/>
        </w:numPr>
        <w:spacing w:after="60" w:before="60"/>
      </w:pPr>
      <w:r>
        <w:rPr>
          <w:rFonts w:ascii="Arial" w:cs="Arial" w:eastAsia="Arial" w:hAnsi="Arial"/>
          <w:color w:val="1A1A2E"/>
          <w:sz w:val="22"/>
          <w:szCs w:val="22"/>
        </w:rPr>
        <w:t xml:space="preserve">Schedule follow-up callback within 24 hours</w:t>
      </w:r>
    </w:p>
    <w:p>
      <w:pPr>
        <w:spacing w:after="120" w:before="0"/>
      </w:pPr>
      <w:r>
        <w:t xml:space="preserve"/>
      </w:r>
    </w:p>
    <w:p>
      <w:pPr>
        <w:pStyle w:val="Heading2"/>
        <w:spacing w:after="160" w:before="280"/>
      </w:pPr>
      <w:r>
        <w:rPr>
          <w:rFonts w:ascii="Arial" w:cs="Arial" w:eastAsia="Arial" w:hAnsi="Arial"/>
          <w:b/>
          <w:bCs/>
          <w:color w:val="1F5C9E"/>
          <w:sz w:val="26"/>
          <w:szCs w:val="26"/>
        </w:rPr>
        <w:t xml:space="preserve">Scenario 3: Business Account – Salary Transfer Failure</w:t>
      </w:r>
    </w:p>
    <w:p>
      <w:pPr>
        <w:spacing w:after="80" w:before="80"/>
      </w:pPr>
      <w:r>
        <w:rPr>
          <w:rFonts w:ascii="Arial" w:cs="Arial" w:eastAsia="Arial" w:hAnsi="Arial"/>
          <w:color w:val="1A1A2E"/>
          <w:sz w:val="22"/>
          <w:szCs w:val="22"/>
        </w:rPr>
        <w:t xml:space="preserve">Situation: An SME owner reports that payroll NEFT sent for 45 employees on Friday has not reached employee accounts (it is now Monday morning).</w:t>
      </w:r>
    </w:p>
    <w:p>
      <w:pPr>
        <w:spacing w:after="80" w:before="80"/>
      </w:pPr>
      <w:r>
        <w:rPr>
          <w:rFonts w:ascii="Arial" w:cs="Arial" w:eastAsia="Arial" w:hAnsi="Arial"/>
          <w:color w:val="1A1A2E"/>
          <w:sz w:val="22"/>
          <w:szCs w:val="22"/>
        </w:rPr>
        <w:t xml:space="preserve">Resolution Path:</w:t>
      </w:r>
    </w:p>
    <w:p>
      <w:pPr>
        <w:pStyle w:val="ListParagraph"/>
        <w:numPr>
          <w:ilvl w:val="0"/>
          <w:numId w:val="3"/>
        </w:numPr>
        <w:spacing w:after="60" w:before="60"/>
      </w:pPr>
      <w:r>
        <w:rPr>
          <w:rFonts w:ascii="Arial" w:cs="Arial" w:eastAsia="Arial" w:hAnsi="Arial"/>
          <w:color w:val="1A1A2E"/>
          <w:sz w:val="22"/>
          <w:szCs w:val="22"/>
        </w:rPr>
        <w:t xml:space="preserve">Authenticate using business account credentials and CIN</w:t>
      </w:r>
    </w:p>
    <w:p>
      <w:pPr>
        <w:pStyle w:val="ListParagraph"/>
        <w:numPr>
          <w:ilvl w:val="0"/>
          <w:numId w:val="3"/>
        </w:numPr>
        <w:spacing w:after="60" w:before="60"/>
      </w:pPr>
      <w:r>
        <w:rPr>
          <w:rFonts w:ascii="Arial" w:cs="Arial" w:eastAsia="Arial" w:hAnsi="Arial"/>
          <w:color w:val="1A1A2E"/>
          <w:sz w:val="22"/>
          <w:szCs w:val="22"/>
        </w:rPr>
        <w:t xml:space="preserve">Obtain batch UTR number from customer</w:t>
      </w:r>
    </w:p>
    <w:p>
      <w:pPr>
        <w:pStyle w:val="ListParagraph"/>
        <w:numPr>
          <w:ilvl w:val="0"/>
          <w:numId w:val="3"/>
        </w:numPr>
        <w:spacing w:after="60" w:before="60"/>
      </w:pPr>
      <w:r>
        <w:rPr>
          <w:rFonts w:ascii="Arial" w:cs="Arial" w:eastAsia="Arial" w:hAnsi="Arial"/>
          <w:color w:val="1A1A2E"/>
          <w:sz w:val="22"/>
          <w:szCs w:val="22"/>
        </w:rPr>
        <w:t xml:space="preserve">Check batch status in CBS – identify if stuck in queue or returned</w:t>
      </w:r>
    </w:p>
    <w:p>
      <w:pPr>
        <w:pStyle w:val="ListParagraph"/>
        <w:numPr>
          <w:ilvl w:val="0"/>
          <w:numId w:val="3"/>
        </w:numPr>
        <w:spacing w:after="60" w:before="60"/>
      </w:pPr>
      <w:r>
        <w:rPr>
          <w:rFonts w:ascii="Arial" w:cs="Arial" w:eastAsia="Arial" w:hAnsi="Arial"/>
          <w:color w:val="1A1A2E"/>
          <w:sz w:val="22"/>
          <w:szCs w:val="22"/>
        </w:rPr>
        <w:t xml:space="preserve">If returned: identify reason (insufficient funds, wrong IFSC, beneficiary account closure)</w:t>
      </w:r>
    </w:p>
    <w:p>
      <w:pPr>
        <w:pStyle w:val="ListParagraph"/>
        <w:numPr>
          <w:ilvl w:val="0"/>
          <w:numId w:val="3"/>
        </w:numPr>
        <w:spacing w:after="60" w:before="60"/>
      </w:pPr>
      <w:r>
        <w:rPr>
          <w:rFonts w:ascii="Arial" w:cs="Arial" w:eastAsia="Arial" w:hAnsi="Arial"/>
          <w:color w:val="1A1A2E"/>
          <w:sz w:val="22"/>
          <w:szCs w:val="22"/>
        </w:rPr>
        <w:t xml:space="preserve">If funds deducted but not credited: check NPCI UTR trace in settlement system</w:t>
      </w:r>
    </w:p>
    <w:p>
      <w:pPr>
        <w:pStyle w:val="ListParagraph"/>
        <w:numPr>
          <w:ilvl w:val="0"/>
          <w:numId w:val="3"/>
        </w:numPr>
        <w:spacing w:after="60" w:before="60"/>
      </w:pPr>
      <w:r>
        <w:rPr>
          <w:rFonts w:ascii="Arial" w:cs="Arial" w:eastAsia="Arial" w:hAnsi="Arial"/>
          <w:color w:val="1A1A2E"/>
          <w:sz w:val="22"/>
          <w:szCs w:val="22"/>
        </w:rPr>
        <w:t xml:space="preserve">Escalate to Operations team for bulk UTR trace – SLA: 2 business hours</w:t>
      </w:r>
    </w:p>
    <w:p>
      <w:pPr>
        <w:pStyle w:val="ListParagraph"/>
        <w:numPr>
          <w:ilvl w:val="0"/>
          <w:numId w:val="3"/>
        </w:numPr>
        <w:spacing w:after="60" w:before="60"/>
      </w:pPr>
      <w:r>
        <w:rPr>
          <w:rFonts w:ascii="Arial" w:cs="Arial" w:eastAsia="Arial" w:hAnsi="Arial"/>
          <w:color w:val="1A1A2E"/>
          <w:sz w:val="22"/>
          <w:szCs w:val="22"/>
        </w:rPr>
        <w:t xml:space="preserve">If confirmed lost in transit: initiate bulk return credit within same day</w:t>
      </w:r>
    </w:p>
    <w:p>
      <w:pPr>
        <w:pStyle w:val="ListParagraph"/>
        <w:numPr>
          <w:ilvl w:val="0"/>
          <w:numId w:val="3"/>
        </w:numPr>
        <w:spacing w:after="60" w:before="60"/>
      </w:pPr>
      <w:r>
        <w:rPr>
          <w:rFonts w:ascii="Arial" w:cs="Arial" w:eastAsia="Arial" w:hAnsi="Arial"/>
          <w:color w:val="1A1A2E"/>
          <w:sz w:val="22"/>
          <w:szCs w:val="22"/>
        </w:rPr>
        <w:t xml:space="preserve">Provide formal letter of explanation for employer's HR records</w:t>
      </w:r>
    </w:p>
    <w:p>
      <w:pPr>
        <w:spacing w:after="120" w:before="0"/>
      </w:pPr>
      <w:r>
        <w:t xml:space="preserve"/>
      </w:r>
    </w:p>
    <w:p>
      <w:pPr>
        <w:pStyle w:val="Heading2"/>
        <w:spacing w:after="160" w:before="280"/>
      </w:pPr>
      <w:r>
        <w:rPr>
          <w:rFonts w:ascii="Arial" w:cs="Arial" w:eastAsia="Arial" w:hAnsi="Arial"/>
          <w:b/>
          <w:bCs/>
          <w:color w:val="1F5C9E"/>
          <w:sz w:val="26"/>
          <w:szCs w:val="26"/>
        </w:rPr>
        <w:t xml:space="preserve">Scenario 4: Deceased Account Holder – Family Claiming Balance</w:t>
      </w:r>
    </w:p>
    <w:p>
      <w:pPr>
        <w:spacing w:after="80" w:before="80"/>
      </w:pPr>
      <w:r>
        <w:rPr>
          <w:rFonts w:ascii="Arial" w:cs="Arial" w:eastAsia="Arial" w:hAnsi="Arial"/>
          <w:color w:val="1A1A2E"/>
          <w:sz w:val="22"/>
          <w:szCs w:val="22"/>
        </w:rPr>
        <w:t xml:space="preserve">Situation: Customer's son calls stating his father (FutureTrust customer) passed away 2 weeks ago and the family needs to access the funds.</w:t>
      </w:r>
    </w:p>
    <w:p>
      <w:pPr>
        <w:spacing w:after="80" w:before="80"/>
      </w:pPr>
      <w:r>
        <w:rPr>
          <w:rFonts w:ascii="Arial" w:cs="Arial" w:eastAsia="Arial" w:hAnsi="Arial"/>
          <w:color w:val="1A1A2E"/>
          <w:sz w:val="22"/>
          <w:szCs w:val="22"/>
        </w:rPr>
        <w:t xml:space="preserve">Resolution Path:</w:t>
      </w:r>
    </w:p>
    <w:p>
      <w:pPr>
        <w:pStyle w:val="ListParagraph"/>
        <w:numPr>
          <w:ilvl w:val="0"/>
          <w:numId w:val="3"/>
        </w:numPr>
        <w:spacing w:after="60" w:before="60"/>
      </w:pPr>
      <w:r>
        <w:rPr>
          <w:rFonts w:ascii="Arial" w:cs="Arial" w:eastAsia="Arial" w:hAnsi="Arial"/>
          <w:color w:val="1A1A2E"/>
          <w:sz w:val="22"/>
          <w:szCs w:val="22"/>
        </w:rPr>
        <w:t xml:space="preserve">Express condolences and explain the process with sensitivity</w:t>
      </w:r>
    </w:p>
    <w:p>
      <w:pPr>
        <w:pStyle w:val="ListParagraph"/>
        <w:numPr>
          <w:ilvl w:val="0"/>
          <w:numId w:val="3"/>
        </w:numPr>
        <w:spacing w:after="60" w:before="60"/>
      </w:pPr>
      <w:r>
        <w:rPr>
          <w:rFonts w:ascii="Arial" w:cs="Arial" w:eastAsia="Arial" w:hAnsi="Arial"/>
          <w:color w:val="1A1A2E"/>
          <w:sz w:val="22"/>
          <w:szCs w:val="22"/>
        </w:rPr>
        <w:t xml:space="preserve">Identify account type: single holder or joint account</w:t>
      </w:r>
    </w:p>
    <w:p>
      <w:pPr>
        <w:pStyle w:val="ListParagraph"/>
        <w:numPr>
          <w:ilvl w:val="0"/>
          <w:numId w:val="3"/>
        </w:numPr>
        <w:spacing w:after="60" w:before="60"/>
      </w:pPr>
      <w:r>
        <w:rPr>
          <w:rFonts w:ascii="Arial" w:cs="Arial" w:eastAsia="Arial" w:hAnsi="Arial"/>
          <w:color w:val="1A1A2E"/>
          <w:sz w:val="22"/>
          <w:szCs w:val="22"/>
        </w:rPr>
        <w:t xml:space="preserve">For single holder: direct to branch with death certificate, legal heir certificate, succession certificate</w:t>
      </w:r>
    </w:p>
    <w:p>
      <w:pPr>
        <w:pStyle w:val="ListParagraph"/>
        <w:numPr>
          <w:ilvl w:val="0"/>
          <w:numId w:val="3"/>
        </w:numPr>
        <w:spacing w:after="60" w:before="60"/>
      </w:pPr>
      <w:r>
        <w:rPr>
          <w:rFonts w:ascii="Arial" w:cs="Arial" w:eastAsia="Arial" w:hAnsi="Arial"/>
          <w:color w:val="1A1A2E"/>
          <w:sz w:val="22"/>
          <w:szCs w:val="22"/>
        </w:rPr>
        <w:t xml:space="preserve">For joint account with survivor clause: survivor can operate with death certificate and identity proof</w:t>
      </w:r>
    </w:p>
    <w:p>
      <w:pPr>
        <w:pStyle w:val="ListParagraph"/>
        <w:numPr>
          <w:ilvl w:val="0"/>
          <w:numId w:val="3"/>
        </w:numPr>
        <w:spacing w:after="60" w:before="60"/>
      </w:pPr>
      <w:r>
        <w:rPr>
          <w:rFonts w:ascii="Arial" w:cs="Arial" w:eastAsia="Arial" w:hAnsi="Arial"/>
          <w:color w:val="1A1A2E"/>
          <w:sz w:val="22"/>
          <w:szCs w:val="22"/>
        </w:rPr>
        <w:t xml:space="preserve">If nominee exists: nominee can claim with death certificate and Form CL-1 (Claimant Form)</w:t>
      </w:r>
    </w:p>
    <w:p>
      <w:pPr>
        <w:pStyle w:val="ListParagraph"/>
        <w:numPr>
          <w:ilvl w:val="0"/>
          <w:numId w:val="3"/>
        </w:numPr>
        <w:spacing w:after="60" w:before="60"/>
      </w:pPr>
      <w:r>
        <w:rPr>
          <w:rFonts w:ascii="Arial" w:cs="Arial" w:eastAsia="Arial" w:hAnsi="Arial"/>
          <w:color w:val="1A1A2E"/>
          <w:sz w:val="22"/>
          <w:szCs w:val="22"/>
        </w:rPr>
        <w:t xml:space="preserve">Do NOT provide account balance or transaction details over phone without legal documentation</w:t>
      </w:r>
    </w:p>
    <w:p>
      <w:pPr>
        <w:pStyle w:val="ListParagraph"/>
        <w:numPr>
          <w:ilvl w:val="0"/>
          <w:numId w:val="3"/>
        </w:numPr>
        <w:spacing w:after="60" w:before="60"/>
      </w:pPr>
      <w:r>
        <w:rPr>
          <w:rFonts w:ascii="Arial" w:cs="Arial" w:eastAsia="Arial" w:hAnsi="Arial"/>
          <w:color w:val="1A1A2E"/>
          <w:sz w:val="22"/>
          <w:szCs w:val="22"/>
        </w:rPr>
        <w:t xml:space="preserve">Schedule branch appointment and assign dedicated Relationship Officer for case</w:t>
      </w:r>
    </w:p>
    <w:p>
      <w:pPr>
        <w:spacing w:after="120" w:before="0"/>
      </w:pPr>
      <w:r>
        <w:t xml:space="preserve"/>
      </w:r>
    </w:p>
    <w:p>
      <w:pPr>
        <w:pStyle w:val="Heading2"/>
        <w:spacing w:after="160" w:before="280"/>
      </w:pPr>
      <w:r>
        <w:rPr>
          <w:rFonts w:ascii="Arial" w:cs="Arial" w:eastAsia="Arial" w:hAnsi="Arial"/>
          <w:b/>
          <w:bCs/>
          <w:color w:val="1F5C9E"/>
          <w:sz w:val="26"/>
          <w:szCs w:val="26"/>
        </w:rPr>
        <w:t xml:space="preserve">Scenario 5: Loan Account – EMI Bounce Inquiry</w:t>
      </w:r>
    </w:p>
    <w:p>
      <w:pPr>
        <w:spacing w:after="80" w:before="80"/>
      </w:pPr>
      <w:r>
        <w:rPr>
          <w:rFonts w:ascii="Arial" w:cs="Arial" w:eastAsia="Arial" w:hAnsi="Arial"/>
          <w:color w:val="1A1A2E"/>
          <w:sz w:val="22"/>
          <w:szCs w:val="22"/>
        </w:rPr>
        <w:t xml:space="preserve">Situation: Customer calls asking why ₹18,500 was debited but his EMI was still shown as bounced.</w:t>
      </w:r>
    </w:p>
    <w:p>
      <w:pPr>
        <w:spacing w:after="80" w:before="80"/>
      </w:pPr>
      <w:r>
        <w:rPr>
          <w:rFonts w:ascii="Arial" w:cs="Arial" w:eastAsia="Arial" w:hAnsi="Arial"/>
          <w:color w:val="1A1A2E"/>
          <w:sz w:val="22"/>
          <w:szCs w:val="22"/>
        </w:rPr>
        <w:t xml:space="preserve">Resolution Path:</w:t>
      </w:r>
    </w:p>
    <w:p>
      <w:pPr>
        <w:pStyle w:val="ListParagraph"/>
        <w:numPr>
          <w:ilvl w:val="0"/>
          <w:numId w:val="3"/>
        </w:numPr>
        <w:spacing w:after="60" w:before="60"/>
      </w:pPr>
      <w:r>
        <w:rPr>
          <w:rFonts w:ascii="Arial" w:cs="Arial" w:eastAsia="Arial" w:hAnsi="Arial"/>
          <w:color w:val="1A1A2E"/>
          <w:sz w:val="22"/>
          <w:szCs w:val="22"/>
        </w:rPr>
        <w:t xml:space="preserve">Authenticate customer and pull loan account details</w:t>
      </w:r>
    </w:p>
    <w:p>
      <w:pPr>
        <w:pStyle w:val="ListParagraph"/>
        <w:numPr>
          <w:ilvl w:val="0"/>
          <w:numId w:val="3"/>
        </w:numPr>
        <w:spacing w:after="60" w:before="60"/>
      </w:pPr>
      <w:r>
        <w:rPr>
          <w:rFonts w:ascii="Arial" w:cs="Arial" w:eastAsia="Arial" w:hAnsi="Arial"/>
          <w:color w:val="1A1A2E"/>
          <w:sz w:val="22"/>
          <w:szCs w:val="22"/>
        </w:rPr>
        <w:t xml:space="preserve">Check NACH mandate status – confirm if mandate was honored or returned</w:t>
      </w:r>
    </w:p>
    <w:p>
      <w:pPr>
        <w:pStyle w:val="ListParagraph"/>
        <w:numPr>
          <w:ilvl w:val="0"/>
          <w:numId w:val="3"/>
        </w:numPr>
        <w:spacing w:after="60" w:before="60"/>
      </w:pPr>
      <w:r>
        <w:rPr>
          <w:rFonts w:ascii="Arial" w:cs="Arial" w:eastAsia="Arial" w:hAnsi="Arial"/>
          <w:color w:val="1A1A2E"/>
          <w:sz w:val="22"/>
          <w:szCs w:val="22"/>
        </w:rPr>
        <w:t xml:space="preserve">Check if ₹18,500 debit matches loan account or appears in savings account only</w:t>
      </w:r>
    </w:p>
    <w:p>
      <w:pPr>
        <w:pStyle w:val="ListParagraph"/>
        <w:numPr>
          <w:ilvl w:val="0"/>
          <w:numId w:val="3"/>
        </w:numPr>
        <w:spacing w:after="60" w:before="60"/>
      </w:pPr>
      <w:r>
        <w:rPr>
          <w:rFonts w:ascii="Arial" w:cs="Arial" w:eastAsia="Arial" w:hAnsi="Arial"/>
          <w:color w:val="1A1A2E"/>
          <w:sz w:val="22"/>
          <w:szCs w:val="22"/>
        </w:rPr>
        <w:t xml:space="preserve">If NACH returned: identify reason (insufficient funds, mandate mismatch, bank rejection)</w:t>
      </w:r>
    </w:p>
    <w:p>
      <w:pPr>
        <w:pStyle w:val="ListParagraph"/>
        <w:numPr>
          <w:ilvl w:val="0"/>
          <w:numId w:val="3"/>
        </w:numPr>
        <w:spacing w:after="60" w:before="60"/>
      </w:pPr>
      <w:r>
        <w:rPr>
          <w:rFonts w:ascii="Arial" w:cs="Arial" w:eastAsia="Arial" w:hAnsi="Arial"/>
          <w:color w:val="1A1A2E"/>
          <w:sz w:val="22"/>
          <w:szCs w:val="22"/>
        </w:rPr>
        <w:t xml:space="preserve">Calculate bounce charges applicable per loan agreement</w:t>
      </w:r>
    </w:p>
    <w:p>
      <w:pPr>
        <w:pStyle w:val="ListParagraph"/>
        <w:numPr>
          <w:ilvl w:val="0"/>
          <w:numId w:val="3"/>
        </w:numPr>
        <w:spacing w:after="60" w:before="60"/>
      </w:pPr>
      <w:r>
        <w:rPr>
          <w:rFonts w:ascii="Arial" w:cs="Arial" w:eastAsia="Arial" w:hAnsi="Arial"/>
          <w:color w:val="1A1A2E"/>
          <w:sz w:val="22"/>
          <w:szCs w:val="22"/>
        </w:rPr>
        <w:t xml:space="preserve">Guide customer on manual EMI payment via NEFT with correct loan account reference</w:t>
      </w:r>
    </w:p>
    <w:p>
      <w:pPr>
        <w:pStyle w:val="ListParagraph"/>
        <w:numPr>
          <w:ilvl w:val="0"/>
          <w:numId w:val="3"/>
        </w:numPr>
        <w:spacing w:after="60" w:before="60"/>
      </w:pPr>
      <w:r>
        <w:rPr>
          <w:rFonts w:ascii="Arial" w:cs="Arial" w:eastAsia="Arial" w:hAnsi="Arial"/>
          <w:color w:val="1A1A2E"/>
          <w:sz w:val="22"/>
          <w:szCs w:val="22"/>
        </w:rPr>
        <w:t xml:space="preserve">If mandate error on bank side: waive bounce charges and reprocess – escalate to Loans Operations</w:t>
      </w:r>
    </w:p>
    <w:p>
      <w:pPr>
        <w:pStyle w:val="ListParagraph"/>
        <w:numPr>
          <w:ilvl w:val="0"/>
          <w:numId w:val="3"/>
        </w:numPr>
        <w:spacing w:after="60" w:before="60"/>
      </w:pPr>
      <w:r>
        <w:rPr>
          <w:rFonts w:ascii="Arial" w:cs="Arial" w:eastAsia="Arial" w:hAnsi="Arial"/>
          <w:color w:val="1A1A2E"/>
          <w:sz w:val="22"/>
          <w:szCs w:val="22"/>
        </w:rPr>
        <w:t xml:space="preserve">Update CRM with full case details and attach CBS screenshots</w:t>
      </w:r>
    </w:p>
    <w:p>
      <w:r>
        <w:br w:type="page"/>
      </w:r>
    </w:p>
    <w:p>
      <w:pPr>
        <w:pStyle w:val="Heading1"/>
        <w:spacing w:after="200" w:before="360"/>
      </w:pPr>
      <w:r>
        <w:rPr>
          <w:rFonts w:ascii="Arial" w:cs="Arial" w:eastAsia="Arial" w:hAnsi="Arial"/>
          <w:b/>
          <w:bCs/>
          <w:color w:val="003366"/>
          <w:sz w:val="32"/>
          <w:szCs w:val="32"/>
        </w:rPr>
        <w:t xml:space="preserve">16. Edge Cases</w:t>
      </w:r>
    </w:p>
    <w:p>
      <w:pPr>
        <w:pStyle w:val="Heading2"/>
        <w:spacing w:after="160" w:before="280"/>
      </w:pPr>
      <w:r>
        <w:rPr>
          <w:rFonts w:ascii="Arial" w:cs="Arial" w:eastAsia="Arial" w:hAnsi="Arial"/>
          <w:b/>
          <w:bCs/>
          <w:color w:val="1F5C9E"/>
          <w:sz w:val="26"/>
          <w:szCs w:val="26"/>
        </w:rPr>
        <w:t xml:space="preserve">16.1 Account Number Linked to Two Different Customers in CBS</w:t>
      </w:r>
    </w:p>
    <w:p>
      <w:pPr>
        <w:spacing w:after="80" w:before="80"/>
      </w:pPr>
      <w:r>
        <w:rPr>
          <w:rFonts w:ascii="Arial" w:cs="Arial" w:eastAsia="Arial" w:hAnsi="Arial"/>
          <w:color w:val="1A1A2E"/>
          <w:sz w:val="22"/>
          <w:szCs w:val="22"/>
        </w:rPr>
        <w:t xml:space="preserve">Immediate Action: Place a temporary hold on both accounts. Escalate to IT Operations within 30 minutes. Do not perform any transactions. Notify both customers. Issue formal apology and compensation per bank policy.</w:t>
      </w:r>
    </w:p>
    <w:p>
      <w:pPr>
        <w:spacing w:after="120" w:before="0"/>
      </w:pPr>
      <w:r>
        <w:t xml:space="preserve"/>
      </w:r>
    </w:p>
    <w:p>
      <w:pPr>
        <w:pStyle w:val="Heading2"/>
        <w:spacing w:after="160" w:before="280"/>
      </w:pPr>
      <w:r>
        <w:rPr>
          <w:rFonts w:ascii="Arial" w:cs="Arial" w:eastAsia="Arial" w:hAnsi="Arial"/>
          <w:b/>
          <w:bCs/>
          <w:color w:val="1F5C9E"/>
          <w:sz w:val="26"/>
          <w:szCs w:val="26"/>
        </w:rPr>
        <w:t xml:space="preserve">16.2 Customer Claims OTP Received But Not Sent by Bank</w:t>
      </w:r>
    </w:p>
    <w:p>
      <w:pPr>
        <w:spacing w:after="80" w:before="80"/>
      </w:pPr>
      <w:r>
        <w:rPr>
          <w:rFonts w:ascii="Arial" w:cs="Arial" w:eastAsia="Arial" w:hAnsi="Arial"/>
          <w:color w:val="1A1A2E"/>
          <w:sz w:val="22"/>
          <w:szCs w:val="22"/>
        </w:rPr>
        <w:t xml:space="preserve">Action: Verify OTP dispatch logs in OTP management system. Check if a third-party SIM swap has occurred. If SIM swap suspected: freeze account, notify customer, raise fraud case. Inform TRAI for telecom fraud if confirmed.</w:t>
      </w:r>
    </w:p>
    <w:p>
      <w:pPr>
        <w:spacing w:after="120" w:before="0"/>
      </w:pPr>
      <w:r>
        <w:t xml:space="preserve"/>
      </w:r>
    </w:p>
    <w:p>
      <w:pPr>
        <w:pStyle w:val="Heading2"/>
        <w:spacing w:after="160" w:before="280"/>
      </w:pPr>
      <w:r>
        <w:rPr>
          <w:rFonts w:ascii="Arial" w:cs="Arial" w:eastAsia="Arial" w:hAnsi="Arial"/>
          <w:b/>
          <w:bCs/>
          <w:color w:val="1F5C9E"/>
          <w:sz w:val="26"/>
          <w:szCs w:val="26"/>
        </w:rPr>
        <w:t xml:space="preserve">16.3 Duplicate Credit to Customer Account (Bank Error)</w:t>
      </w:r>
    </w:p>
    <w:p>
      <w:pPr>
        <w:spacing w:after="80" w:before="80"/>
      </w:pPr>
      <w:r>
        <w:rPr>
          <w:rFonts w:ascii="Arial" w:cs="Arial" w:eastAsia="Arial" w:hAnsi="Arial"/>
          <w:color w:val="1A1A2E"/>
          <w:sz w:val="22"/>
          <w:szCs w:val="22"/>
        </w:rPr>
        <w:t xml:space="preserve">Action: Do NOT immediately reverse without informing customer. Contact customer explaining the error. Obtain written consent for reversal. If customer refuses, escalate to legal and initiate recovery under Banking Regulation Act provisions. Document fully.</w:t>
      </w:r>
    </w:p>
    <w:p>
      <w:pPr>
        <w:spacing w:after="120" w:before="0"/>
      </w:pPr>
      <w:r>
        <w:t xml:space="preserve"/>
      </w:r>
    </w:p>
    <w:p>
      <w:pPr>
        <w:pStyle w:val="Heading2"/>
        <w:spacing w:after="160" w:before="280"/>
      </w:pPr>
      <w:r>
        <w:rPr>
          <w:rFonts w:ascii="Arial" w:cs="Arial" w:eastAsia="Arial" w:hAnsi="Arial"/>
          <w:b/>
          <w:bCs/>
          <w:color w:val="1F5C9E"/>
          <w:sz w:val="26"/>
          <w:szCs w:val="26"/>
        </w:rPr>
        <w:t xml:space="preserve">16.4 Customer Account Frozen by PMLA/ED Order</w:t>
      </w:r>
    </w:p>
    <w:p>
      <w:pPr>
        <w:spacing w:after="80" w:before="80"/>
      </w:pPr>
      <w:r>
        <w:rPr>
          <w:rFonts w:ascii="Arial" w:cs="Arial" w:eastAsia="Arial" w:hAnsi="Arial"/>
          <w:color w:val="1A1A2E"/>
          <w:sz w:val="22"/>
          <w:szCs w:val="22"/>
        </w:rPr>
        <w:t xml:space="preserve">Action: CSR must NOT reveal the freezing authority or reason to the customer. Provide standard message: 'Your account has a regulatory hold. Please contact your nearest branch with identity proof.' Escalate immediately to Compliance Department. Do not lift freeze without Compliance clearance.</w:t>
      </w:r>
    </w:p>
    <w:p>
      <w:pPr>
        <w:spacing w:after="120" w:before="0"/>
      </w:pPr>
      <w:r>
        <w:t xml:space="preserve"/>
      </w:r>
    </w:p>
    <w:p>
      <w:pPr>
        <w:pStyle w:val="Heading2"/>
        <w:spacing w:after="160" w:before="280"/>
      </w:pPr>
      <w:r>
        <w:rPr>
          <w:rFonts w:ascii="Arial" w:cs="Arial" w:eastAsia="Arial" w:hAnsi="Arial"/>
          <w:b/>
          <w:bCs/>
          <w:color w:val="1F5C9E"/>
          <w:sz w:val="26"/>
          <w:szCs w:val="26"/>
        </w:rPr>
        <w:t xml:space="preserve">16.5 Customer with Power of Attorney (POA) Calling</w:t>
      </w:r>
    </w:p>
    <w:p>
      <w:pPr>
        <w:spacing w:after="80" w:before="80"/>
      </w:pPr>
      <w:r>
        <w:rPr>
          <w:rFonts w:ascii="Arial" w:cs="Arial" w:eastAsia="Arial" w:hAnsi="Arial"/>
          <w:color w:val="1A1A2E"/>
          <w:sz w:val="22"/>
          <w:szCs w:val="22"/>
        </w:rPr>
        <w:t xml:space="preserve">Action: Authenticate both POA holder identity AND verify POA document validity (notarized, registered, within validity period). Check if POA is registered in CBS. If not registered, direct to branch with original POA document. Limit POA operations to those specified in the POA deed.</w:t>
      </w:r>
    </w:p>
    <w:p>
      <w:pPr>
        <w:spacing w:after="120" w:before="0"/>
      </w:pPr>
      <w:r>
        <w:t xml:space="preserve"/>
      </w:r>
    </w:p>
    <w:p>
      <w:pPr>
        <w:pStyle w:val="Heading2"/>
        <w:spacing w:after="160" w:before="280"/>
      </w:pPr>
      <w:r>
        <w:rPr>
          <w:rFonts w:ascii="Arial" w:cs="Arial" w:eastAsia="Arial" w:hAnsi="Arial"/>
          <w:b/>
          <w:bCs/>
          <w:color w:val="1F5C9E"/>
          <w:sz w:val="26"/>
          <w:szCs w:val="26"/>
        </w:rPr>
        <w:t xml:space="preserve">16.6 Minor Account Turned 18 – Access Confusion</w:t>
      </w:r>
    </w:p>
    <w:p>
      <w:pPr>
        <w:spacing w:after="80" w:before="80"/>
      </w:pPr>
      <w:r>
        <w:rPr>
          <w:rFonts w:ascii="Arial" w:cs="Arial" w:eastAsia="Arial" w:hAnsi="Arial"/>
          <w:color w:val="1A1A2E"/>
          <w:sz w:val="22"/>
          <w:szCs w:val="22"/>
        </w:rPr>
        <w:t xml:space="preserve">Action: Minor accounts automatically restrict operations at age 18. Customer must visit branch, sign fresh KYC forms, convert to regular savings account. Provide bridge access for emergency funds via Form MJ-1 (Minor-to-Adult Conversion Request) within 3 working days.</w:t>
      </w:r>
    </w:p>
    <w:p>
      <w:pPr>
        <w:spacing w:after="120" w:before="0"/>
      </w:pPr>
      <w:r>
        <w:t xml:space="preserve"/>
      </w:r>
    </w:p>
    <w:p>
      <w:pPr>
        <w:pStyle w:val="Heading2"/>
        <w:spacing w:after="160" w:before="280"/>
      </w:pPr>
      <w:r>
        <w:rPr>
          <w:rFonts w:ascii="Arial" w:cs="Arial" w:eastAsia="Arial" w:hAnsi="Arial"/>
          <w:b/>
          <w:bCs/>
          <w:color w:val="1F5C9E"/>
          <w:sz w:val="26"/>
          <w:szCs w:val="26"/>
        </w:rPr>
        <w:t xml:space="preserve">16.7 Customer Reporting Wrong Amount in CRM vs Actual Loss</w:t>
      </w:r>
    </w:p>
    <w:p>
      <w:pPr>
        <w:spacing w:after="80" w:before="80"/>
      </w:pPr>
      <w:r>
        <w:rPr>
          <w:rFonts w:ascii="Arial" w:cs="Arial" w:eastAsia="Arial" w:hAnsi="Arial"/>
          <w:color w:val="1A1A2E"/>
          <w:sz w:val="22"/>
          <w:szCs w:val="22"/>
        </w:rPr>
        <w:t xml:space="preserve">Action: If customer claims to have lost ₹50,000 but CBS shows only ₹15,000 deducted: document claimed amount separately, explain CBS data to customer, provide detailed statement, and note discrepancy in fraud report for FIT to investigate. Never dismiss discrepancy without documentation.</w:t>
      </w:r>
    </w:p>
    <w:p>
      <w:pPr>
        <w:spacing w:after="120" w:before="0"/>
      </w:pPr>
      <w:r>
        <w:t xml:space="preserve"/>
      </w:r>
    </w:p>
    <w:p>
      <w:pPr>
        <w:pStyle w:val="Heading2"/>
        <w:spacing w:after="160" w:before="280"/>
      </w:pPr>
      <w:r>
        <w:rPr>
          <w:rFonts w:ascii="Arial" w:cs="Arial" w:eastAsia="Arial" w:hAnsi="Arial"/>
          <w:b/>
          <w:bCs/>
          <w:color w:val="1F5C9E"/>
          <w:sz w:val="26"/>
          <w:szCs w:val="26"/>
        </w:rPr>
        <w:t xml:space="preserve">16.8 Refusal to Authenticate – But Clearly in Distress</w:t>
      </w:r>
    </w:p>
    <w:p>
      <w:pPr>
        <w:spacing w:after="80" w:before="80"/>
      </w:pPr>
      <w:r>
        <w:rPr>
          <w:rFonts w:ascii="Arial" w:cs="Arial" w:eastAsia="Arial" w:hAnsi="Arial"/>
          <w:color w:val="1A1A2E"/>
          <w:sz w:val="22"/>
          <w:szCs w:val="22"/>
        </w:rPr>
        <w:t xml:space="preserve">Action: If customer refuses authentication but mentions an emergency (e.g., 'I need to block my card right now'), use emergency card block without full authentication if customer provides card number, name, and last 4 digits of account. Document non-standard authentication reason. Follow up with full authentication and formal confirmation.</w:t>
      </w:r>
    </w:p>
    <w:p>
      <w:r>
        <w:br w:type="page"/>
      </w:r>
    </w:p>
    <w:p>
      <w:pPr>
        <w:pStyle w:val="Heading1"/>
        <w:spacing w:after="200" w:before="360"/>
      </w:pPr>
      <w:r>
        <w:rPr>
          <w:rFonts w:ascii="Arial" w:cs="Arial" w:eastAsia="Arial" w:hAnsi="Arial"/>
          <w:b/>
          <w:bCs/>
          <w:color w:val="003366"/>
          <w:sz w:val="32"/>
          <w:szCs w:val="32"/>
        </w:rPr>
        <w:t xml:space="preserve">17. Complaint Handling Framework</w:t>
      </w:r>
    </w:p>
    <w:p>
      <w:pPr>
        <w:pStyle w:val="Heading2"/>
        <w:spacing w:after="160" w:before="280"/>
      </w:pPr>
      <w:r>
        <w:rPr>
          <w:rFonts w:ascii="Arial" w:cs="Arial" w:eastAsia="Arial" w:hAnsi="Arial"/>
          <w:b/>
          <w:bCs/>
          <w:color w:val="1F5C9E"/>
          <w:sz w:val="26"/>
          <w:szCs w:val="26"/>
        </w:rPr>
        <w:t xml:space="preserve">17.1 Complaint Categories and SLAs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3200"/>
        <w:gridCol w:w="1630"/>
        <w:gridCol w:w="1630"/>
      </w:tblGrid>
      <w:tr>
        <w:tc>
          <w:tcPr>
            <w:tcW w:type="dxa" w:w="400"/>
            <w:tcBorders>
              <w:top w:val="single" w:color="AECDE0" w:sz="1"/>
              <w:left w:val="single" w:color="AECDE0" w:sz="1"/>
              <w:bottom w:val="single" w:color="AECDE0" w:sz="1"/>
              <w:right w:val="single" w:color="AECDE0" w:sz="1"/>
            </w:tcBorders>
            <w:shd w:fill="00336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500"/>
            <w:tcBorders>
              <w:top w:val="single" w:color="AECDE0" w:sz="1"/>
              <w:left w:val="single" w:color="AECDE0" w:sz="1"/>
              <w:bottom w:val="single" w:color="AECDE0" w:sz="1"/>
              <w:right w:val="single" w:color="AECDE0" w:sz="1"/>
            </w:tcBorders>
            <w:shd w:fill="00336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3200"/>
            <w:tcBorders>
              <w:top w:val="single" w:color="AECDE0" w:sz="1"/>
              <w:left w:val="single" w:color="AECDE0" w:sz="1"/>
              <w:bottom w:val="single" w:color="AECDE0" w:sz="1"/>
              <w:right w:val="single" w:color="AECDE0" w:sz="1"/>
            </w:tcBorders>
            <w:shd w:fill="00336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Examples</w:t>
            </w:r>
          </w:p>
        </w:tc>
        <w:tc>
          <w:tcPr>
            <w:tcW w:type="dxa" w:w="1630"/>
            <w:tcBorders>
              <w:top w:val="single" w:color="AECDE0" w:sz="1"/>
              <w:left w:val="single" w:color="AECDE0" w:sz="1"/>
              <w:bottom w:val="single" w:color="AECDE0" w:sz="1"/>
              <w:right w:val="single" w:color="AECDE0" w:sz="1"/>
            </w:tcBorders>
            <w:shd w:fill="00336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SLA (Days)</w:t>
            </w:r>
          </w:p>
        </w:tc>
        <w:tc>
          <w:tcPr>
            <w:tcW w:type="dxa" w:w="1630"/>
            <w:tcBorders>
              <w:top w:val="single" w:color="AECDE0" w:sz="1"/>
              <w:left w:val="single" w:color="AECDE0" w:sz="1"/>
              <w:bottom w:val="single" w:color="AECDE0" w:sz="1"/>
              <w:right w:val="single" w:color="AECDE0" w:sz="1"/>
            </w:tcBorders>
            <w:shd w:fill="00336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Escalation</w:t>
            </w:r>
          </w:p>
        </w:tc>
      </w:tr>
      <w:tr>
        <w:tc>
          <w:tcPr>
            <w:tcW w:type="dxa" w:w="4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w:t>
            </w:r>
          </w:p>
        </w:tc>
        <w:tc>
          <w:tcPr>
            <w:tcW w:type="dxa" w:w="25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Transaction Disputes</w:t>
            </w:r>
          </w:p>
        </w:tc>
        <w:tc>
          <w:tcPr>
            <w:tcW w:type="dxa" w:w="32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Unauthorized debit, failed credit, wrong amount</w:t>
            </w:r>
          </w:p>
        </w:tc>
        <w:tc>
          <w:tcPr>
            <w:tcW w:type="dxa" w:w="163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7</w:t>
            </w:r>
          </w:p>
        </w:tc>
        <w:tc>
          <w:tcPr>
            <w:tcW w:type="dxa" w:w="163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L3 after Day 3</w:t>
            </w:r>
          </w:p>
        </w:tc>
      </w:tr>
      <w:tr>
        <w:tc>
          <w:tcPr>
            <w:tcW w:type="dxa" w:w="4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w:t>
            </w:r>
          </w:p>
        </w:tc>
        <w:tc>
          <w:tcPr>
            <w:tcW w:type="dxa" w:w="25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Service Quality</w:t>
            </w:r>
          </w:p>
        </w:tc>
        <w:tc>
          <w:tcPr>
            <w:tcW w:type="dxa" w:w="32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Rude staff, incorrect info, long wait times</w:t>
            </w:r>
          </w:p>
        </w:tc>
        <w:tc>
          <w:tcPr>
            <w:tcW w:type="dxa" w:w="163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w:t>
            </w:r>
          </w:p>
        </w:tc>
        <w:tc>
          <w:tcPr>
            <w:tcW w:type="dxa" w:w="163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L3 after Day 2</w:t>
            </w:r>
          </w:p>
        </w:tc>
      </w:tr>
      <w:tr>
        <w:tc>
          <w:tcPr>
            <w:tcW w:type="dxa" w:w="4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w:t>
            </w:r>
          </w:p>
        </w:tc>
        <w:tc>
          <w:tcPr>
            <w:tcW w:type="dxa" w:w="25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Digital Banking</w:t>
            </w:r>
          </w:p>
        </w:tc>
        <w:tc>
          <w:tcPr>
            <w:tcW w:type="dxa" w:w="32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App crashes, login failures, failed UPI transfers</w:t>
            </w:r>
          </w:p>
        </w:tc>
        <w:tc>
          <w:tcPr>
            <w:tcW w:type="dxa" w:w="163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w:t>
            </w:r>
          </w:p>
        </w:tc>
        <w:tc>
          <w:tcPr>
            <w:tcW w:type="dxa" w:w="163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L2 after 24 hrs</w:t>
            </w:r>
          </w:p>
        </w:tc>
      </w:tr>
      <w:tr>
        <w:tc>
          <w:tcPr>
            <w:tcW w:type="dxa" w:w="4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w:t>
            </w:r>
          </w:p>
        </w:tc>
        <w:tc>
          <w:tcPr>
            <w:tcW w:type="dxa" w:w="25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Loan and Credit</w:t>
            </w:r>
          </w:p>
        </w:tc>
        <w:tc>
          <w:tcPr>
            <w:tcW w:type="dxa" w:w="32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Interest miscalculation, wrong EMI, foreclosure issues</w:t>
            </w:r>
          </w:p>
        </w:tc>
        <w:tc>
          <w:tcPr>
            <w:tcW w:type="dxa" w:w="163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w:t>
            </w:r>
          </w:p>
        </w:tc>
        <w:tc>
          <w:tcPr>
            <w:tcW w:type="dxa" w:w="163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L3 + Loans Dept</w:t>
            </w:r>
          </w:p>
        </w:tc>
      </w:tr>
      <w:tr>
        <w:tc>
          <w:tcPr>
            <w:tcW w:type="dxa" w:w="4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w:t>
            </w:r>
          </w:p>
        </w:tc>
        <w:tc>
          <w:tcPr>
            <w:tcW w:type="dxa" w:w="25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Card Services</w:t>
            </w:r>
          </w:p>
        </w:tc>
        <w:tc>
          <w:tcPr>
            <w:tcW w:type="dxa" w:w="32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Wrong charges, card not received, POS disputes</w:t>
            </w:r>
          </w:p>
        </w:tc>
        <w:tc>
          <w:tcPr>
            <w:tcW w:type="dxa" w:w="163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7</w:t>
            </w:r>
          </w:p>
        </w:tc>
        <w:tc>
          <w:tcPr>
            <w:tcW w:type="dxa" w:w="163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L2 after 48 hrs</w:t>
            </w:r>
          </w:p>
        </w:tc>
      </w:tr>
      <w:tr>
        <w:tc>
          <w:tcPr>
            <w:tcW w:type="dxa" w:w="4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6</w:t>
            </w:r>
          </w:p>
        </w:tc>
        <w:tc>
          <w:tcPr>
            <w:tcW w:type="dxa" w:w="25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Fraud and Security</w:t>
            </w:r>
          </w:p>
        </w:tc>
        <w:tc>
          <w:tcPr>
            <w:tcW w:type="dxa" w:w="32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Phishing, SIM swap fraud, unauthorized access</w:t>
            </w:r>
          </w:p>
        </w:tc>
        <w:tc>
          <w:tcPr>
            <w:tcW w:type="dxa" w:w="163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w:t>
            </w:r>
          </w:p>
        </w:tc>
        <w:tc>
          <w:tcPr>
            <w:tcW w:type="dxa" w:w="163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Immediate L4 + FIT</w:t>
            </w:r>
          </w:p>
        </w:tc>
      </w:tr>
      <w:tr>
        <w:tc>
          <w:tcPr>
            <w:tcW w:type="dxa" w:w="4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7</w:t>
            </w:r>
          </w:p>
        </w:tc>
        <w:tc>
          <w:tcPr>
            <w:tcW w:type="dxa" w:w="25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Accessibility</w:t>
            </w:r>
          </w:p>
        </w:tc>
        <w:tc>
          <w:tcPr>
            <w:tcW w:type="dxa" w:w="32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Branch access, disability accommodation failures</w:t>
            </w:r>
          </w:p>
        </w:tc>
        <w:tc>
          <w:tcPr>
            <w:tcW w:type="dxa" w:w="163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w:t>
            </w:r>
          </w:p>
        </w:tc>
        <w:tc>
          <w:tcPr>
            <w:tcW w:type="dxa" w:w="163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L3 + SVP</w:t>
            </w:r>
          </w:p>
        </w:tc>
      </w:tr>
    </w:tbl>
    <w:p>
      <w:pPr>
        <w:spacing w:after="120" w:before="0"/>
      </w:pPr>
      <w:r>
        <w:t xml:space="preserve"/>
      </w:r>
    </w:p>
    <w:p>
      <w:pPr>
        <w:pStyle w:val="Heading2"/>
        <w:spacing w:after="160" w:before="280"/>
      </w:pPr>
      <w:r>
        <w:rPr>
          <w:rFonts w:ascii="Arial" w:cs="Arial" w:eastAsia="Arial" w:hAnsi="Arial"/>
          <w:b/>
          <w:bCs/>
          <w:color w:val="1F5C9E"/>
          <w:sz w:val="26"/>
          <w:szCs w:val="26"/>
        </w:rPr>
        <w:t xml:space="preserve">17.2 Complaint Resolution Steps</w:t>
      </w:r>
    </w:p>
    <w:p>
      <w:pPr>
        <w:pStyle w:val="ListParagraph"/>
        <w:numPr>
          <w:ilvl w:val="0"/>
          <w:numId w:val="3"/>
        </w:numPr>
        <w:spacing w:after="60" w:before="60"/>
      </w:pPr>
      <w:r>
        <w:rPr>
          <w:rFonts w:ascii="Arial" w:cs="Arial" w:eastAsia="Arial" w:hAnsi="Arial"/>
          <w:color w:val="1A1A2E"/>
          <w:sz w:val="22"/>
          <w:szCs w:val="22"/>
        </w:rPr>
        <w:t xml:space="preserve">Receive complaint and assign Complaint Reference Number (CRN) immediately</w:t>
      </w:r>
    </w:p>
    <w:p>
      <w:pPr>
        <w:pStyle w:val="ListParagraph"/>
        <w:numPr>
          <w:ilvl w:val="0"/>
          <w:numId w:val="3"/>
        </w:numPr>
        <w:spacing w:after="60" w:before="60"/>
      </w:pPr>
      <w:r>
        <w:rPr>
          <w:rFonts w:ascii="Arial" w:cs="Arial" w:eastAsia="Arial" w:hAnsi="Arial"/>
          <w:color w:val="1A1A2E"/>
          <w:sz w:val="22"/>
          <w:szCs w:val="22"/>
        </w:rPr>
        <w:t xml:space="preserve">Send written acknowledgment within 24 hours</w:t>
      </w:r>
    </w:p>
    <w:p>
      <w:pPr>
        <w:pStyle w:val="ListParagraph"/>
        <w:numPr>
          <w:ilvl w:val="0"/>
          <w:numId w:val="3"/>
        </w:numPr>
        <w:spacing w:after="60" w:before="60"/>
      </w:pPr>
      <w:r>
        <w:rPr>
          <w:rFonts w:ascii="Arial" w:cs="Arial" w:eastAsia="Arial" w:hAnsi="Arial"/>
          <w:color w:val="1A1A2E"/>
          <w:sz w:val="22"/>
          <w:szCs w:val="22"/>
        </w:rPr>
        <w:t xml:space="preserve">Assign to appropriate department and CRO within 4 business hours</w:t>
      </w:r>
    </w:p>
    <w:p>
      <w:pPr>
        <w:pStyle w:val="ListParagraph"/>
        <w:numPr>
          <w:ilvl w:val="0"/>
          <w:numId w:val="3"/>
        </w:numPr>
        <w:spacing w:after="60" w:before="60"/>
      </w:pPr>
      <w:r>
        <w:rPr>
          <w:rFonts w:ascii="Arial" w:cs="Arial" w:eastAsia="Arial" w:hAnsi="Arial"/>
          <w:color w:val="1A1A2E"/>
          <w:sz w:val="22"/>
          <w:szCs w:val="22"/>
        </w:rPr>
        <w:t xml:space="preserve">Conduct investigation – gather CBS records, call recordings, branch logs</w:t>
      </w:r>
    </w:p>
    <w:p>
      <w:pPr>
        <w:pStyle w:val="ListParagraph"/>
        <w:numPr>
          <w:ilvl w:val="0"/>
          <w:numId w:val="3"/>
        </w:numPr>
        <w:spacing w:after="60" w:before="60"/>
      </w:pPr>
      <w:r>
        <w:rPr>
          <w:rFonts w:ascii="Arial" w:cs="Arial" w:eastAsia="Arial" w:hAnsi="Arial"/>
          <w:color w:val="1A1A2E"/>
          <w:sz w:val="22"/>
          <w:szCs w:val="22"/>
        </w:rPr>
        <w:t xml:space="preserve">Attempt resolution within SLA – provide regular status updates (at Day 3 and Day 5 minimum)</w:t>
      </w:r>
    </w:p>
    <w:p>
      <w:pPr>
        <w:pStyle w:val="ListParagraph"/>
        <w:numPr>
          <w:ilvl w:val="0"/>
          <w:numId w:val="3"/>
        </w:numPr>
        <w:spacing w:after="60" w:before="60"/>
      </w:pPr>
      <w:r>
        <w:rPr>
          <w:rFonts w:ascii="Arial" w:cs="Arial" w:eastAsia="Arial" w:hAnsi="Arial"/>
          <w:color w:val="1A1A2E"/>
          <w:sz w:val="22"/>
          <w:szCs w:val="22"/>
        </w:rPr>
        <w:t xml:space="preserve">Final resolution letter sent with explanation, amount credited (if applicable), and corrective action taken</w:t>
      </w:r>
    </w:p>
    <w:p>
      <w:pPr>
        <w:pStyle w:val="ListParagraph"/>
        <w:numPr>
          <w:ilvl w:val="0"/>
          <w:numId w:val="3"/>
        </w:numPr>
        <w:spacing w:after="60" w:before="60"/>
      </w:pPr>
      <w:r>
        <w:rPr>
          <w:rFonts w:ascii="Arial" w:cs="Arial" w:eastAsia="Arial" w:hAnsi="Arial"/>
          <w:color w:val="1A1A2E"/>
          <w:sz w:val="22"/>
          <w:szCs w:val="22"/>
        </w:rPr>
        <w:t xml:space="preserve">If rejected: provide reason in writing with evidence. Customer may escalate to Banking Ombudsman</w:t>
      </w:r>
    </w:p>
    <w:p>
      <w:pPr>
        <w:pStyle w:val="ListParagraph"/>
        <w:numPr>
          <w:ilvl w:val="0"/>
          <w:numId w:val="3"/>
        </w:numPr>
        <w:spacing w:after="60" w:before="60"/>
      </w:pPr>
      <w:r>
        <w:rPr>
          <w:rFonts w:ascii="Arial" w:cs="Arial" w:eastAsia="Arial" w:hAnsi="Arial"/>
          <w:color w:val="1A1A2E"/>
          <w:sz w:val="22"/>
          <w:szCs w:val="22"/>
        </w:rPr>
        <w:t xml:space="preserve">Close complaint in CRM with CSAT survey dispatch</w:t>
      </w:r>
    </w:p>
    <w:p>
      <w:pPr>
        <w:spacing w:after="120" w:before="0"/>
      </w:pPr>
      <w:r>
        <w:t xml:space="preserve"/>
      </w:r>
    </w:p>
    <w:p>
      <w:pPr>
        <w:pStyle w:val="Heading2"/>
        <w:spacing w:after="160" w:before="280"/>
      </w:pPr>
      <w:r>
        <w:rPr>
          <w:rFonts w:ascii="Arial" w:cs="Arial" w:eastAsia="Arial" w:hAnsi="Arial"/>
          <w:b/>
          <w:bCs/>
          <w:color w:val="1F5C9E"/>
          <w:sz w:val="26"/>
          <w:szCs w:val="26"/>
        </w:rPr>
        <w:t xml:space="preserve">17.3 Compensation Policy for Valid Complaints</w:t>
      </w:r>
    </w:p>
    <w:p>
      <w:pPr>
        <w:pStyle w:val="ListParagraph"/>
        <w:numPr>
          <w:ilvl w:val="0"/>
          <w:numId w:val="2"/>
        </w:numPr>
        <w:spacing w:after="60" w:before="60"/>
      </w:pPr>
      <w:r>
        <w:rPr>
          <w:rFonts w:ascii="Arial" w:cs="Arial" w:eastAsia="Arial" w:hAnsi="Arial"/>
          <w:color w:val="1A1A2E"/>
          <w:sz w:val="22"/>
          <w:szCs w:val="22"/>
        </w:rPr>
        <w:t xml:space="preserve">Failed transactions: Full amount refunded + interest at savings rate from date of failure</w:t>
      </w:r>
    </w:p>
    <w:p>
      <w:pPr>
        <w:pStyle w:val="ListParagraph"/>
        <w:numPr>
          <w:ilvl w:val="0"/>
          <w:numId w:val="2"/>
        </w:numPr>
        <w:spacing w:after="60" w:before="60"/>
      </w:pPr>
      <w:r>
        <w:rPr>
          <w:rFonts w:ascii="Arial" w:cs="Arial" w:eastAsia="Arial" w:hAnsi="Arial"/>
          <w:color w:val="1A1A2E"/>
          <w:sz w:val="22"/>
          <w:szCs w:val="22"/>
        </w:rPr>
        <w:t xml:space="preserve">Delayed resolution beyond SLA: ₹100 compensation per additional working day of delay</w:t>
      </w:r>
    </w:p>
    <w:p>
      <w:pPr>
        <w:pStyle w:val="ListParagraph"/>
        <w:numPr>
          <w:ilvl w:val="0"/>
          <w:numId w:val="2"/>
        </w:numPr>
        <w:spacing w:after="60" w:before="60"/>
      </w:pPr>
      <w:r>
        <w:rPr>
          <w:rFonts w:ascii="Arial" w:cs="Arial" w:eastAsia="Arial" w:hAnsi="Arial"/>
          <w:color w:val="1A1A2E"/>
          <w:sz w:val="22"/>
          <w:szCs w:val="22"/>
        </w:rPr>
        <w:t xml:space="preserve">Mental agony for fraud: Up to ₹5,000 at Department Manager's discretion</w:t>
      </w:r>
    </w:p>
    <w:p>
      <w:pPr>
        <w:pStyle w:val="ListParagraph"/>
        <w:numPr>
          <w:ilvl w:val="0"/>
          <w:numId w:val="2"/>
        </w:numPr>
        <w:spacing w:after="60" w:before="60"/>
      </w:pPr>
      <w:r>
        <w:rPr>
          <w:rFonts w:ascii="Arial" w:cs="Arial" w:eastAsia="Arial" w:hAnsi="Arial"/>
          <w:color w:val="1A1A2E"/>
          <w:sz w:val="22"/>
          <w:szCs w:val="22"/>
        </w:rPr>
        <w:t xml:space="preserve">Wrong charges: 100% reversal + ₹250 convenience credit</w:t>
      </w:r>
    </w:p>
    <w:p>
      <w:pPr>
        <w:pStyle w:val="ListParagraph"/>
        <w:numPr>
          <w:ilvl w:val="0"/>
          <w:numId w:val="2"/>
        </w:numPr>
        <w:spacing w:after="60" w:before="60"/>
      </w:pPr>
      <w:r>
        <w:rPr>
          <w:rFonts w:ascii="Arial" w:cs="Arial" w:eastAsia="Arial" w:hAnsi="Arial"/>
          <w:color w:val="1A1A2E"/>
          <w:sz w:val="22"/>
          <w:szCs w:val="22"/>
        </w:rPr>
        <w:t xml:space="preserve">Loss of critical documents by bank: ₹1,000 minimum compensation + cost of document recreation</w:t>
      </w:r>
    </w:p>
    <w:p>
      <w:r>
        <w:br w:type="page"/>
      </w:r>
    </w:p>
    <w:p>
      <w:pPr>
        <w:pStyle w:val="Heading1"/>
        <w:spacing w:after="200" w:before="360"/>
      </w:pPr>
      <w:r>
        <w:rPr>
          <w:rFonts w:ascii="Arial" w:cs="Arial" w:eastAsia="Arial" w:hAnsi="Arial"/>
          <w:b/>
          <w:bCs/>
          <w:color w:val="003366"/>
          <w:sz w:val="32"/>
          <w:szCs w:val="32"/>
        </w:rPr>
        <w:t xml:space="preserve">18. Exception Handling</w:t>
      </w:r>
    </w:p>
    <w:p>
      <w:pPr>
        <w:pStyle w:val="Heading2"/>
        <w:spacing w:after="160" w:before="280"/>
      </w:pPr>
      <w:r>
        <w:rPr>
          <w:rFonts w:ascii="Arial" w:cs="Arial" w:eastAsia="Arial" w:hAnsi="Arial"/>
          <w:b/>
          <w:bCs/>
          <w:color w:val="1F5C9E"/>
          <w:sz w:val="26"/>
          <w:szCs w:val="26"/>
        </w:rPr>
        <w:t xml:space="preserve">18.1 System Downtime Protocol</w:t>
      </w:r>
    </w:p>
    <w:p>
      <w:pPr>
        <w:spacing w:after="80" w:before="80"/>
      </w:pPr>
      <w:r>
        <w:rPr>
          <w:rFonts w:ascii="Arial" w:cs="Arial" w:eastAsia="Arial" w:hAnsi="Arial"/>
          <w:color w:val="1A1A2E"/>
          <w:sz w:val="22"/>
          <w:szCs w:val="22"/>
        </w:rPr>
        <w:t xml:space="preserve">During CBS, CRM, or NetBanking downtime:</w:t>
      </w:r>
    </w:p>
    <w:p>
      <w:pPr>
        <w:pStyle w:val="ListParagraph"/>
        <w:numPr>
          <w:ilvl w:val="0"/>
          <w:numId w:val="2"/>
        </w:numPr>
        <w:spacing w:after="60" w:before="60"/>
      </w:pPr>
      <w:r>
        <w:rPr>
          <w:rFonts w:ascii="Arial" w:cs="Arial" w:eastAsia="Arial" w:hAnsi="Arial"/>
          <w:color w:val="1A1A2E"/>
          <w:sz w:val="22"/>
          <w:szCs w:val="22"/>
        </w:rPr>
        <w:t xml:space="preserve">Activate Paper-Based Fallback Protocol (PBFP) for critical transactions</w:t>
      </w:r>
    </w:p>
    <w:p>
      <w:pPr>
        <w:pStyle w:val="ListParagraph"/>
        <w:numPr>
          <w:ilvl w:val="0"/>
          <w:numId w:val="2"/>
        </w:numPr>
        <w:spacing w:after="60" w:before="60"/>
      </w:pPr>
      <w:r>
        <w:rPr>
          <w:rFonts w:ascii="Arial" w:cs="Arial" w:eastAsia="Arial" w:hAnsi="Arial"/>
          <w:color w:val="1A1A2E"/>
          <w:sz w:val="22"/>
          <w:szCs w:val="22"/>
        </w:rPr>
        <w:t xml:space="preserve">Use pre-approved downtime transaction forms (DT-Form 001)</w:t>
      </w:r>
    </w:p>
    <w:p>
      <w:pPr>
        <w:pStyle w:val="ListParagraph"/>
        <w:numPr>
          <w:ilvl w:val="0"/>
          <w:numId w:val="2"/>
        </w:numPr>
        <w:spacing w:after="60" w:before="60"/>
      </w:pPr>
      <w:r>
        <w:rPr>
          <w:rFonts w:ascii="Arial" w:cs="Arial" w:eastAsia="Arial" w:hAnsi="Arial"/>
          <w:color w:val="1A1A2E"/>
          <w:sz w:val="22"/>
          <w:szCs w:val="22"/>
        </w:rPr>
        <w:t xml:space="preserve">All emergency card blocks to be processed via Emergency Block System (EBS – standalone)</w:t>
      </w:r>
    </w:p>
    <w:p>
      <w:pPr>
        <w:pStyle w:val="ListParagraph"/>
        <w:numPr>
          <w:ilvl w:val="0"/>
          <w:numId w:val="2"/>
        </w:numPr>
        <w:spacing w:after="60" w:before="60"/>
      </w:pPr>
      <w:r>
        <w:rPr>
          <w:rFonts w:ascii="Arial" w:cs="Arial" w:eastAsia="Arial" w:hAnsi="Arial"/>
          <w:color w:val="1A1A2E"/>
          <w:sz w:val="22"/>
          <w:szCs w:val="22"/>
        </w:rPr>
        <w:t xml:space="preserve">Communicate estimated downtime to customers via IVR message and website banner</w:t>
      </w:r>
    </w:p>
    <w:p>
      <w:pPr>
        <w:pStyle w:val="ListParagraph"/>
        <w:numPr>
          <w:ilvl w:val="0"/>
          <w:numId w:val="2"/>
        </w:numPr>
        <w:spacing w:after="60" w:before="60"/>
      </w:pPr>
      <w:r>
        <w:rPr>
          <w:rFonts w:ascii="Arial" w:cs="Arial" w:eastAsia="Arial" w:hAnsi="Arial"/>
          <w:color w:val="1A1A2E"/>
          <w:sz w:val="22"/>
          <w:szCs w:val="22"/>
        </w:rPr>
        <w:t xml:space="preserve">Log all transactions on paper; update CBS within 2 hours of system restoration</w:t>
      </w:r>
    </w:p>
    <w:p>
      <w:pPr>
        <w:pStyle w:val="ListParagraph"/>
        <w:numPr>
          <w:ilvl w:val="0"/>
          <w:numId w:val="2"/>
        </w:numPr>
        <w:spacing w:after="60" w:before="60"/>
      </w:pPr>
      <w:r>
        <w:rPr>
          <w:rFonts w:ascii="Arial" w:cs="Arial" w:eastAsia="Arial" w:hAnsi="Arial"/>
          <w:color w:val="1A1A2E"/>
          <w:sz w:val="22"/>
          <w:szCs w:val="22"/>
        </w:rPr>
        <w:t xml:space="preserve">IT Operations to be notified within 5 minutes of confirmed downtime</w:t>
      </w:r>
    </w:p>
    <w:p>
      <w:pPr>
        <w:spacing w:after="120" w:before="0"/>
      </w:pPr>
      <w:r>
        <w:t xml:space="preserve"/>
      </w:r>
    </w:p>
    <w:p>
      <w:pPr>
        <w:pStyle w:val="Heading2"/>
        <w:spacing w:after="160" w:before="280"/>
      </w:pPr>
      <w:r>
        <w:rPr>
          <w:rFonts w:ascii="Arial" w:cs="Arial" w:eastAsia="Arial" w:hAnsi="Arial"/>
          <w:b/>
          <w:bCs/>
          <w:color w:val="1F5C9E"/>
          <w:sz w:val="26"/>
          <w:szCs w:val="26"/>
        </w:rPr>
        <w:t xml:space="preserve">18.2 High Call Volume Protocol</w:t>
      </w:r>
    </w:p>
    <w:p>
      <w:pPr>
        <w:spacing w:after="80" w:before="80"/>
      </w:pPr>
      <w:r>
        <w:rPr>
          <w:rFonts w:ascii="Arial" w:cs="Arial" w:eastAsia="Arial" w:hAnsi="Arial"/>
          <w:color w:val="1A1A2E"/>
          <w:sz w:val="22"/>
          <w:szCs w:val="22"/>
        </w:rPr>
        <w:t xml:space="preserve">When inbound calls exceed 150% of normal capacity:</w:t>
      </w:r>
    </w:p>
    <w:p>
      <w:pPr>
        <w:pStyle w:val="ListParagraph"/>
        <w:numPr>
          <w:ilvl w:val="0"/>
          <w:numId w:val="2"/>
        </w:numPr>
        <w:spacing w:after="60" w:before="60"/>
      </w:pPr>
      <w:r>
        <w:rPr>
          <w:rFonts w:ascii="Arial" w:cs="Arial" w:eastAsia="Arial" w:hAnsi="Arial"/>
          <w:color w:val="1A1A2E"/>
          <w:sz w:val="22"/>
          <w:szCs w:val="22"/>
        </w:rPr>
        <w:t xml:space="preserve">Activate overflow routing to backup call center (Pune Operations Center)</w:t>
      </w:r>
    </w:p>
    <w:p>
      <w:pPr>
        <w:pStyle w:val="ListParagraph"/>
        <w:numPr>
          <w:ilvl w:val="0"/>
          <w:numId w:val="2"/>
        </w:numPr>
        <w:spacing w:after="60" w:before="60"/>
      </w:pPr>
      <w:r>
        <w:rPr>
          <w:rFonts w:ascii="Arial" w:cs="Arial" w:eastAsia="Arial" w:hAnsi="Arial"/>
          <w:color w:val="1A1A2E"/>
          <w:sz w:val="22"/>
          <w:szCs w:val="22"/>
        </w:rPr>
        <w:t xml:space="preserve">Enable IVR self-service messaging for top 5 common queries</w:t>
      </w:r>
    </w:p>
    <w:p>
      <w:pPr>
        <w:pStyle w:val="ListParagraph"/>
        <w:numPr>
          <w:ilvl w:val="0"/>
          <w:numId w:val="2"/>
        </w:numPr>
        <w:spacing w:after="60" w:before="60"/>
      </w:pPr>
      <w:r>
        <w:rPr>
          <w:rFonts w:ascii="Arial" w:cs="Arial" w:eastAsia="Arial" w:hAnsi="Arial"/>
          <w:color w:val="1A1A2E"/>
          <w:sz w:val="22"/>
          <w:szCs w:val="22"/>
        </w:rPr>
        <w:t xml:space="preserve">Suspend non-essential outbound calling campaigns</w:t>
      </w:r>
    </w:p>
    <w:p>
      <w:pPr>
        <w:pStyle w:val="ListParagraph"/>
        <w:numPr>
          <w:ilvl w:val="0"/>
          <w:numId w:val="2"/>
        </w:numPr>
        <w:spacing w:after="60" w:before="60"/>
      </w:pPr>
      <w:r>
        <w:rPr>
          <w:rFonts w:ascii="Arial" w:cs="Arial" w:eastAsia="Arial" w:hAnsi="Arial"/>
          <w:color w:val="1A1A2E"/>
          <w:sz w:val="22"/>
          <w:szCs w:val="22"/>
        </w:rPr>
        <w:t xml:space="preserve">Deploy available managers and QA analysts to handle calls</w:t>
      </w:r>
    </w:p>
    <w:p>
      <w:pPr>
        <w:pStyle w:val="ListParagraph"/>
        <w:numPr>
          <w:ilvl w:val="0"/>
          <w:numId w:val="2"/>
        </w:numPr>
        <w:spacing w:after="60" w:before="60"/>
      </w:pPr>
      <w:r>
        <w:rPr>
          <w:rFonts w:ascii="Arial" w:cs="Arial" w:eastAsia="Arial" w:hAnsi="Arial"/>
          <w:color w:val="1A1A2E"/>
          <w:sz w:val="22"/>
          <w:szCs w:val="22"/>
        </w:rPr>
        <w:t xml:space="preserve">Update wait time messaging: 'Due to high call volume, your expected wait time is X minutes'</w:t>
      </w:r>
    </w:p>
    <w:p>
      <w:pPr>
        <w:pStyle w:val="ListParagraph"/>
        <w:numPr>
          <w:ilvl w:val="0"/>
          <w:numId w:val="2"/>
        </w:numPr>
        <w:spacing w:after="60" w:before="60"/>
      </w:pPr>
      <w:r>
        <w:rPr>
          <w:rFonts w:ascii="Arial" w:cs="Arial" w:eastAsia="Arial" w:hAnsi="Arial"/>
          <w:color w:val="1A1A2E"/>
          <w:sz w:val="22"/>
          <w:szCs w:val="22"/>
        </w:rPr>
        <w:t xml:space="preserve">Prioritize: Fraud reports → Card blocks → Transaction disputes → General queries</w:t>
      </w:r>
    </w:p>
    <w:p>
      <w:pPr>
        <w:spacing w:after="120" w:before="0"/>
      </w:pPr>
      <w:r>
        <w:t xml:space="preserve"/>
      </w:r>
    </w:p>
    <w:p>
      <w:pPr>
        <w:pStyle w:val="Heading2"/>
        <w:spacing w:after="160" w:before="280"/>
      </w:pPr>
      <w:r>
        <w:rPr>
          <w:rFonts w:ascii="Arial" w:cs="Arial" w:eastAsia="Arial" w:hAnsi="Arial"/>
          <w:b/>
          <w:bCs/>
          <w:color w:val="1F5C9E"/>
          <w:sz w:val="26"/>
          <w:szCs w:val="26"/>
        </w:rPr>
        <w:t xml:space="preserve">18.3 Language Barrier Exception</w:t>
      </w:r>
    </w:p>
    <w:p>
      <w:pPr>
        <w:spacing w:after="80" w:before="80"/>
      </w:pPr>
      <w:r>
        <w:rPr>
          <w:rFonts w:ascii="Arial" w:cs="Arial" w:eastAsia="Arial" w:hAnsi="Arial"/>
          <w:color w:val="1A1A2E"/>
          <w:sz w:val="22"/>
          <w:szCs w:val="22"/>
        </w:rPr>
        <w:t xml:space="preserve">When customer speaks a language not covered by the handling CSR:</w:t>
      </w:r>
    </w:p>
    <w:p>
      <w:pPr>
        <w:pStyle w:val="ListParagraph"/>
        <w:numPr>
          <w:ilvl w:val="0"/>
          <w:numId w:val="2"/>
        </w:numPr>
        <w:spacing w:after="60" w:before="60"/>
      </w:pPr>
      <w:r>
        <w:rPr>
          <w:rFonts w:ascii="Arial" w:cs="Arial" w:eastAsia="Arial" w:hAnsi="Arial"/>
          <w:color w:val="1A1A2E"/>
          <w:sz w:val="22"/>
          <w:szCs w:val="22"/>
        </w:rPr>
        <w:t xml:space="preserve">Immediately transfer to language-specific CSR queue (8 languages available)</w:t>
      </w:r>
    </w:p>
    <w:p>
      <w:pPr>
        <w:pStyle w:val="ListParagraph"/>
        <w:numPr>
          <w:ilvl w:val="0"/>
          <w:numId w:val="2"/>
        </w:numPr>
        <w:spacing w:after="60" w:before="60"/>
      </w:pPr>
      <w:r>
        <w:rPr>
          <w:rFonts w:ascii="Arial" w:cs="Arial" w:eastAsia="Arial" w:hAnsi="Arial"/>
          <w:color w:val="1A1A2E"/>
          <w:sz w:val="22"/>
          <w:szCs w:val="22"/>
        </w:rPr>
        <w:t xml:space="preserve">If no CSR available in required language: engage three-way interpreter service (contracted with LanguageLine India)</w:t>
      </w:r>
    </w:p>
    <w:p>
      <w:pPr>
        <w:pStyle w:val="ListParagraph"/>
        <w:numPr>
          <w:ilvl w:val="0"/>
          <w:numId w:val="2"/>
        </w:numPr>
        <w:spacing w:after="60" w:before="60"/>
      </w:pPr>
      <w:r>
        <w:rPr>
          <w:rFonts w:ascii="Arial" w:cs="Arial" w:eastAsia="Arial" w:hAnsi="Arial"/>
          <w:color w:val="1A1A2E"/>
          <w:sz w:val="22"/>
          <w:szCs w:val="22"/>
        </w:rPr>
        <w:t xml:space="preserve">Document language preference in CRM for future reference</w:t>
      </w:r>
    </w:p>
    <w:p>
      <w:pPr>
        <w:pStyle w:val="ListParagraph"/>
        <w:numPr>
          <w:ilvl w:val="0"/>
          <w:numId w:val="2"/>
        </w:numPr>
        <w:spacing w:after="60" w:before="60"/>
      </w:pPr>
      <w:r>
        <w:rPr>
          <w:rFonts w:ascii="Arial" w:cs="Arial" w:eastAsia="Arial" w:hAnsi="Arial"/>
          <w:color w:val="1A1A2E"/>
          <w:sz w:val="22"/>
          <w:szCs w:val="22"/>
        </w:rPr>
        <w:t xml:space="preserve">Average wait for language-specific CSR: under 5 minutes during business hours</w:t>
      </w:r>
    </w:p>
    <w:p>
      <w:pPr>
        <w:spacing w:after="120" w:before="0"/>
      </w:pPr>
      <w:r>
        <w:t xml:space="preserve"/>
      </w:r>
    </w:p>
    <w:p>
      <w:pPr>
        <w:pStyle w:val="Heading2"/>
        <w:spacing w:after="160" w:before="280"/>
      </w:pPr>
      <w:r>
        <w:rPr>
          <w:rFonts w:ascii="Arial" w:cs="Arial" w:eastAsia="Arial" w:hAnsi="Arial"/>
          <w:b/>
          <w:bCs/>
          <w:color w:val="1F5C9E"/>
          <w:sz w:val="26"/>
          <w:szCs w:val="26"/>
        </w:rPr>
        <w:t xml:space="preserve">18.4 Abusive or Threatening Caller Protocol</w:t>
      </w:r>
    </w:p>
    <w:p>
      <w:pPr>
        <w:pStyle w:val="ListParagraph"/>
        <w:numPr>
          <w:ilvl w:val="0"/>
          <w:numId w:val="2"/>
        </w:numPr>
        <w:spacing w:after="60" w:before="60"/>
      </w:pPr>
      <w:r>
        <w:rPr>
          <w:rFonts w:ascii="Arial" w:cs="Arial" w:eastAsia="Arial" w:hAnsi="Arial"/>
          <w:color w:val="1A1A2E"/>
          <w:sz w:val="22"/>
          <w:szCs w:val="22"/>
        </w:rPr>
        <w:t xml:space="preserve">CSR must remain calm and professional at all times</w:t>
      </w:r>
    </w:p>
    <w:p>
      <w:pPr>
        <w:pStyle w:val="ListParagraph"/>
        <w:numPr>
          <w:ilvl w:val="0"/>
          <w:numId w:val="2"/>
        </w:numPr>
        <w:spacing w:after="60" w:before="60"/>
      </w:pPr>
      <w:r>
        <w:rPr>
          <w:rFonts w:ascii="Arial" w:cs="Arial" w:eastAsia="Arial" w:hAnsi="Arial"/>
          <w:color w:val="1A1A2E"/>
          <w:sz w:val="22"/>
          <w:szCs w:val="22"/>
        </w:rPr>
        <w:t xml:space="preserve">Issue one formal verbal warning: 'I am here to help you, but I must ask you to speak respectfully'</w:t>
      </w:r>
    </w:p>
    <w:p>
      <w:pPr>
        <w:pStyle w:val="ListParagraph"/>
        <w:numPr>
          <w:ilvl w:val="0"/>
          <w:numId w:val="2"/>
        </w:numPr>
        <w:spacing w:after="60" w:before="60"/>
      </w:pPr>
      <w:r>
        <w:rPr>
          <w:rFonts w:ascii="Arial" w:cs="Arial" w:eastAsia="Arial" w:hAnsi="Arial"/>
          <w:color w:val="1A1A2E"/>
          <w:sz w:val="22"/>
          <w:szCs w:val="22"/>
        </w:rPr>
        <w:t xml:space="preserve">If behavior continues: 'I will need to transfer you to my supervisor.' Transfer to floor supervisor</w:t>
      </w:r>
    </w:p>
    <w:p>
      <w:pPr>
        <w:pStyle w:val="ListParagraph"/>
        <w:numPr>
          <w:ilvl w:val="0"/>
          <w:numId w:val="2"/>
        </w:numPr>
        <w:spacing w:after="60" w:before="60"/>
      </w:pPr>
      <w:r>
        <w:rPr>
          <w:rFonts w:ascii="Arial" w:cs="Arial" w:eastAsia="Arial" w:hAnsi="Arial"/>
          <w:color w:val="1A1A2E"/>
          <w:sz w:val="22"/>
          <w:szCs w:val="22"/>
        </w:rPr>
        <w:t xml:space="preserve">If threatening physical harm: disengage call, document, alert security team and police if warranted</w:t>
      </w:r>
    </w:p>
    <w:p>
      <w:pPr>
        <w:pStyle w:val="ListParagraph"/>
        <w:numPr>
          <w:ilvl w:val="0"/>
          <w:numId w:val="2"/>
        </w:numPr>
        <w:spacing w:after="60" w:before="60"/>
      </w:pPr>
      <w:r>
        <w:rPr>
          <w:rFonts w:ascii="Arial" w:cs="Arial" w:eastAsia="Arial" w:hAnsi="Arial"/>
          <w:color w:val="1A1A2E"/>
          <w:sz w:val="22"/>
          <w:szCs w:val="22"/>
        </w:rPr>
        <w:t xml:space="preserve">Document full incident with call recording reference in incident management system</w:t>
      </w:r>
    </w:p>
    <w:p>
      <w:pPr>
        <w:pStyle w:val="ListParagraph"/>
        <w:numPr>
          <w:ilvl w:val="0"/>
          <w:numId w:val="2"/>
        </w:numPr>
        <w:spacing w:after="60" w:before="60"/>
      </w:pPr>
      <w:r>
        <w:rPr>
          <w:rFonts w:ascii="Arial" w:cs="Arial" w:eastAsia="Arial" w:hAnsi="Arial"/>
          <w:color w:val="1A1A2E"/>
          <w:sz w:val="22"/>
          <w:szCs w:val="22"/>
        </w:rPr>
        <w:t xml:space="preserve">CSR is entitled to mandatory support from Employee Assistance Program (EAP) after such incidents</w:t>
      </w:r>
    </w:p>
    <w:p>
      <w:pPr>
        <w:spacing w:after="120" w:before="0"/>
      </w:pPr>
      <w:r>
        <w:t xml:space="preserve"/>
      </w:r>
    </w:p>
    <w:p>
      <w:pPr>
        <w:pStyle w:val="Heading2"/>
        <w:spacing w:after="160" w:before="280"/>
      </w:pPr>
      <w:r>
        <w:rPr>
          <w:rFonts w:ascii="Arial" w:cs="Arial" w:eastAsia="Arial" w:hAnsi="Arial"/>
          <w:b/>
          <w:bCs/>
          <w:color w:val="1F5C9E"/>
          <w:sz w:val="26"/>
          <w:szCs w:val="26"/>
        </w:rPr>
        <w:t xml:space="preserve">18.5 Power of Attorney Disputes</w:t>
      </w:r>
    </w:p>
    <w:p>
      <w:pPr>
        <w:spacing w:after="80" w:before="80"/>
      </w:pPr>
      <w:r>
        <w:rPr>
          <w:rFonts w:ascii="Arial" w:cs="Arial" w:eastAsia="Arial" w:hAnsi="Arial"/>
          <w:color w:val="1A1A2E"/>
          <w:sz w:val="22"/>
          <w:szCs w:val="22"/>
        </w:rPr>
        <w:t xml:space="preserve">When two parties both claim right to operate the same account (e.g., competing POA claims):</w:t>
      </w:r>
    </w:p>
    <w:p>
      <w:pPr>
        <w:pStyle w:val="ListParagraph"/>
        <w:numPr>
          <w:ilvl w:val="0"/>
          <w:numId w:val="2"/>
        </w:numPr>
        <w:spacing w:after="60" w:before="60"/>
      </w:pPr>
      <w:r>
        <w:rPr>
          <w:rFonts w:ascii="Arial" w:cs="Arial" w:eastAsia="Arial" w:hAnsi="Arial"/>
          <w:color w:val="1A1A2E"/>
          <w:sz w:val="22"/>
          <w:szCs w:val="22"/>
        </w:rPr>
        <w:t xml:space="preserve">Freeze account immediately pending legal clarification</w:t>
      </w:r>
    </w:p>
    <w:p>
      <w:pPr>
        <w:pStyle w:val="ListParagraph"/>
        <w:numPr>
          <w:ilvl w:val="0"/>
          <w:numId w:val="2"/>
        </w:numPr>
        <w:spacing w:after="60" w:before="60"/>
      </w:pPr>
      <w:r>
        <w:rPr>
          <w:rFonts w:ascii="Arial" w:cs="Arial" w:eastAsia="Arial" w:hAnsi="Arial"/>
          <w:color w:val="1A1A2E"/>
          <w:sz w:val="22"/>
          <w:szCs w:val="22"/>
        </w:rPr>
        <w:t xml:space="preserve">Request both parties to submit original POA documents to branch</w:t>
      </w:r>
    </w:p>
    <w:p>
      <w:pPr>
        <w:pStyle w:val="ListParagraph"/>
        <w:numPr>
          <w:ilvl w:val="0"/>
          <w:numId w:val="2"/>
        </w:numPr>
        <w:spacing w:after="60" w:before="60"/>
      </w:pPr>
      <w:r>
        <w:rPr>
          <w:rFonts w:ascii="Arial" w:cs="Arial" w:eastAsia="Arial" w:hAnsi="Arial"/>
          <w:color w:val="1A1A2E"/>
          <w:sz w:val="22"/>
          <w:szCs w:val="22"/>
        </w:rPr>
        <w:t xml:space="preserve">Refer to FutureTrust Legal Department within 24 hours</w:t>
      </w:r>
    </w:p>
    <w:p>
      <w:pPr>
        <w:pStyle w:val="ListParagraph"/>
        <w:numPr>
          <w:ilvl w:val="0"/>
          <w:numId w:val="2"/>
        </w:numPr>
        <w:spacing w:after="60" w:before="60"/>
      </w:pPr>
      <w:r>
        <w:rPr>
          <w:rFonts w:ascii="Arial" w:cs="Arial" w:eastAsia="Arial" w:hAnsi="Arial"/>
          <w:color w:val="1A1A2E"/>
          <w:sz w:val="22"/>
          <w:szCs w:val="22"/>
        </w:rPr>
        <w:t xml:space="preserve">Do not process any transactions until Legal Department provides written clearance</w:t>
      </w:r>
    </w:p>
    <w:p>
      <w:pPr>
        <w:pStyle w:val="ListParagraph"/>
        <w:numPr>
          <w:ilvl w:val="0"/>
          <w:numId w:val="2"/>
        </w:numPr>
        <w:spacing w:after="60" w:before="60"/>
      </w:pPr>
      <w:r>
        <w:rPr>
          <w:rFonts w:ascii="Arial" w:cs="Arial" w:eastAsia="Arial" w:hAnsi="Arial"/>
          <w:color w:val="1A1A2E"/>
          <w:sz w:val="22"/>
          <w:szCs w:val="22"/>
        </w:rPr>
        <w:t xml:space="preserve">Inform both parties of freeze and legal process in writing</w:t>
      </w:r>
    </w:p>
    <w:p>
      <w:pPr>
        <w:spacing w:after="120" w:before="0"/>
      </w:pPr>
      <w:r>
        <w:t xml:space="preserve"/>
      </w:r>
    </w:p>
    <w:p>
      <w:pPr>
        <w:pStyle w:val="Heading2"/>
        <w:spacing w:after="160" w:before="280"/>
      </w:pPr>
      <w:r>
        <w:rPr>
          <w:rFonts w:ascii="Arial" w:cs="Arial" w:eastAsia="Arial" w:hAnsi="Arial"/>
          <w:b/>
          <w:bCs/>
          <w:color w:val="1F5C9E"/>
          <w:sz w:val="26"/>
          <w:szCs w:val="26"/>
        </w:rPr>
        <w:t xml:space="preserve">18.6 Regulatory Inquiry Handling</w:t>
      </w:r>
    </w:p>
    <w:p>
      <w:pPr>
        <w:spacing w:after="80" w:before="80"/>
      </w:pPr>
      <w:r>
        <w:rPr>
          <w:rFonts w:ascii="Arial" w:cs="Arial" w:eastAsia="Arial" w:hAnsi="Arial"/>
          <w:color w:val="1A1A2E"/>
          <w:sz w:val="22"/>
          <w:szCs w:val="22"/>
        </w:rPr>
        <w:t xml:space="preserve">If a customer mentions RBI, Banking Ombudsman, or legal action during a call:</w:t>
      </w:r>
    </w:p>
    <w:p>
      <w:pPr>
        <w:pStyle w:val="ListParagraph"/>
        <w:numPr>
          <w:ilvl w:val="0"/>
          <w:numId w:val="2"/>
        </w:numPr>
        <w:spacing w:after="60" w:before="60"/>
      </w:pPr>
      <w:r>
        <w:rPr>
          <w:rFonts w:ascii="Arial" w:cs="Arial" w:eastAsia="Arial" w:hAnsi="Arial"/>
          <w:color w:val="1A1A2E"/>
          <w:sz w:val="22"/>
          <w:szCs w:val="22"/>
        </w:rPr>
        <w:t xml:space="preserve">Do not become defensive or dismiss the concern</w:t>
      </w:r>
    </w:p>
    <w:p>
      <w:pPr>
        <w:pStyle w:val="ListParagraph"/>
        <w:numPr>
          <w:ilvl w:val="0"/>
          <w:numId w:val="2"/>
        </w:numPr>
        <w:spacing w:after="60" w:before="60"/>
      </w:pPr>
      <w:r>
        <w:rPr>
          <w:rFonts w:ascii="Arial" w:cs="Arial" w:eastAsia="Arial" w:hAnsi="Arial"/>
          <w:color w:val="1A1A2E"/>
          <w:sz w:val="22"/>
          <w:szCs w:val="22"/>
        </w:rPr>
        <w:t xml:space="preserve">Acknowledge: 'I understand this has been a difficult experience. Let me escalate this right away.'</w:t>
      </w:r>
    </w:p>
    <w:p>
      <w:pPr>
        <w:pStyle w:val="ListParagraph"/>
        <w:numPr>
          <w:ilvl w:val="0"/>
          <w:numId w:val="2"/>
        </w:numPr>
        <w:spacing w:after="60" w:before="60"/>
      </w:pPr>
      <w:r>
        <w:rPr>
          <w:rFonts w:ascii="Arial" w:cs="Arial" w:eastAsia="Arial" w:hAnsi="Arial"/>
          <w:color w:val="1A1A2E"/>
          <w:sz w:val="22"/>
          <w:szCs w:val="22"/>
        </w:rPr>
        <w:t xml:space="preserve">Immediately flag as Priority case in CRM</w:t>
      </w:r>
    </w:p>
    <w:p>
      <w:pPr>
        <w:pStyle w:val="ListParagraph"/>
        <w:numPr>
          <w:ilvl w:val="0"/>
          <w:numId w:val="2"/>
        </w:numPr>
        <w:spacing w:after="60" w:before="60"/>
      </w:pPr>
      <w:r>
        <w:rPr>
          <w:rFonts w:ascii="Arial" w:cs="Arial" w:eastAsia="Arial" w:hAnsi="Arial"/>
          <w:color w:val="1A1A2E"/>
          <w:sz w:val="22"/>
          <w:szCs w:val="22"/>
        </w:rPr>
        <w:t xml:space="preserve">Escalate to Department Manager within 1 hour</w:t>
      </w:r>
    </w:p>
    <w:p>
      <w:pPr>
        <w:pStyle w:val="ListParagraph"/>
        <w:numPr>
          <w:ilvl w:val="0"/>
          <w:numId w:val="2"/>
        </w:numPr>
        <w:spacing w:after="60" w:before="60"/>
      </w:pPr>
      <w:r>
        <w:rPr>
          <w:rFonts w:ascii="Arial" w:cs="Arial" w:eastAsia="Arial" w:hAnsi="Arial"/>
          <w:color w:val="1A1A2E"/>
          <w:sz w:val="22"/>
          <w:szCs w:val="22"/>
        </w:rPr>
        <w:t xml:space="preserve">Ensure all case notes and evidence are preserved and not deleted</w:t>
      </w:r>
    </w:p>
    <w:p>
      <w:pPr>
        <w:pStyle w:val="ListParagraph"/>
        <w:numPr>
          <w:ilvl w:val="0"/>
          <w:numId w:val="2"/>
        </w:numPr>
        <w:spacing w:after="60" w:before="60"/>
      </w:pPr>
      <w:r>
        <w:rPr>
          <w:rFonts w:ascii="Arial" w:cs="Arial" w:eastAsia="Arial" w:hAnsi="Arial"/>
          <w:color w:val="1A1A2E"/>
          <w:sz w:val="22"/>
          <w:szCs w:val="22"/>
        </w:rPr>
        <w:t xml:space="preserve">Legal and Compliance to be notified within 2 hours of any banking ombudsman mention</w:t>
      </w:r>
    </w:p>
    <w:p>
      <w:r>
        <w:br w:type="page"/>
      </w:r>
    </w:p>
    <w:p>
      <w:pPr>
        <w:pStyle w:val="Heading1"/>
        <w:spacing w:after="200" w:before="360"/>
      </w:pPr>
      <w:r>
        <w:rPr>
          <w:rFonts w:ascii="Arial" w:cs="Arial" w:eastAsia="Arial" w:hAnsi="Arial"/>
          <w:b/>
          <w:bCs/>
          <w:color w:val="003366"/>
          <w:sz w:val="32"/>
          <w:szCs w:val="32"/>
        </w:rPr>
        <w:t xml:space="preserve">19. Real-Life Customer Conversations</w:t>
      </w:r>
    </w:p>
    <w:p>
      <w:pPr>
        <w:pStyle w:val="Heading2"/>
        <w:spacing w:after="160" w:before="280"/>
      </w:pPr>
      <w:r>
        <w:rPr>
          <w:rFonts w:ascii="Arial" w:cs="Arial" w:eastAsia="Arial" w:hAnsi="Arial"/>
          <w:b/>
          <w:bCs/>
          <w:color w:val="1F5C9E"/>
          <w:sz w:val="26"/>
          <w:szCs w:val="26"/>
        </w:rPr>
        <w:t xml:space="preserve">Conversation 1: Account Balance Inquiry</w:t>
      </w:r>
    </w:p>
    <w:p>
      <w:pPr>
        <w:spacing w:after="80" w:before="80"/>
      </w:pPr>
      <w:r>
        <w:rPr>
          <w:rFonts w:ascii="Arial" w:cs="Arial" w:eastAsia="Arial" w:hAnsi="Arial"/>
          <w:color w:val="1A1A2E"/>
          <w:sz w:val="22"/>
          <w:szCs w:val="22"/>
        </w:rPr>
        <w:t xml:space="preserve">Customer (C): Hi, I want to check my account balance.</w:t>
      </w:r>
    </w:p>
    <w:p>
      <w:pPr>
        <w:spacing w:after="80" w:before="80"/>
      </w:pPr>
      <w:r>
        <w:rPr>
          <w:rFonts w:ascii="Arial" w:cs="Arial" w:eastAsia="Arial" w:hAnsi="Arial"/>
          <w:color w:val="1A1A2E"/>
          <w:sz w:val="22"/>
          <w:szCs w:val="22"/>
        </w:rPr>
        <w:t xml:space="preserve">Agent (A): Thank you for calling FutureTrust Bank. My name is Aarti. May I have your account number or registered mobile number?</w:t>
      </w:r>
    </w:p>
    <w:p>
      <w:pPr>
        <w:spacing w:after="80" w:before="80"/>
      </w:pPr>
      <w:r>
        <w:rPr>
          <w:rFonts w:ascii="Arial" w:cs="Arial" w:eastAsia="Arial" w:hAnsi="Arial"/>
          <w:color w:val="1A1A2E"/>
          <w:sz w:val="22"/>
          <w:szCs w:val="22"/>
        </w:rPr>
        <w:t xml:space="preserve">C: My mobile number is 9876543210.</w:t>
      </w:r>
    </w:p>
    <w:p>
      <w:pPr>
        <w:spacing w:after="80" w:before="80"/>
      </w:pPr>
      <w:r>
        <w:rPr>
          <w:rFonts w:ascii="Arial" w:cs="Arial" w:eastAsia="Arial" w:hAnsi="Arial"/>
          <w:color w:val="1A1A2E"/>
          <w:sz w:val="22"/>
          <w:szCs w:val="22"/>
        </w:rPr>
        <w:t xml:space="preserve">A: Thank you. I'm sending an OTP to this number for verification. Please share the OTP.</w:t>
      </w:r>
    </w:p>
    <w:p>
      <w:pPr>
        <w:spacing w:after="80" w:before="80"/>
      </w:pPr>
      <w:r>
        <w:rPr>
          <w:rFonts w:ascii="Arial" w:cs="Arial" w:eastAsia="Arial" w:hAnsi="Arial"/>
          <w:color w:val="1A1A2E"/>
          <w:sz w:val="22"/>
          <w:szCs w:val="22"/>
        </w:rPr>
        <w:t xml:space="preserve">C: It's 483921.</w:t>
      </w:r>
    </w:p>
    <w:p>
      <w:pPr>
        <w:spacing w:after="80" w:before="80"/>
      </w:pPr>
      <w:r>
        <w:rPr>
          <w:rFonts w:ascii="Arial" w:cs="Arial" w:eastAsia="Arial" w:hAnsi="Arial"/>
          <w:color w:val="1A1A2E"/>
          <w:sz w:val="22"/>
          <w:szCs w:val="22"/>
        </w:rPr>
        <w:t xml:space="preserve">A: Thank you, Mr. Sharma. Your current available balance is ₹1,24,560.87 and your ledger balance is ₹1,26,060.87. The difference is due to a cheque of ₹1,500 presented for clearing.</w:t>
      </w:r>
    </w:p>
    <w:p>
      <w:pPr>
        <w:spacing w:after="80" w:before="80"/>
      </w:pPr>
      <w:r>
        <w:rPr>
          <w:rFonts w:ascii="Arial" w:cs="Arial" w:eastAsia="Arial" w:hAnsi="Arial"/>
          <w:color w:val="1A1A2E"/>
          <w:sz w:val="22"/>
          <w:szCs w:val="22"/>
        </w:rPr>
        <w:t xml:space="preserve">C: Oh okay. Can I also get last month's statement?</w:t>
      </w:r>
    </w:p>
    <w:p>
      <w:pPr>
        <w:spacing w:after="80" w:before="80"/>
      </w:pPr>
      <w:r>
        <w:rPr>
          <w:rFonts w:ascii="Arial" w:cs="Arial" w:eastAsia="Arial" w:hAnsi="Arial"/>
          <w:color w:val="1A1A2E"/>
          <w:sz w:val="22"/>
          <w:szCs w:val="22"/>
        </w:rPr>
        <w:t xml:space="preserve">A: Of course! I can send it to your registered email, rahulsh@gmail.com. Shall I proceed?</w:t>
      </w:r>
    </w:p>
    <w:p>
      <w:pPr>
        <w:spacing w:after="80" w:before="80"/>
      </w:pPr>
      <w:r>
        <w:rPr>
          <w:rFonts w:ascii="Arial" w:cs="Arial" w:eastAsia="Arial" w:hAnsi="Arial"/>
          <w:color w:val="1A1A2E"/>
          <w:sz w:val="22"/>
          <w:szCs w:val="22"/>
        </w:rPr>
        <w:t xml:space="preserve">C: Yes, please.</w:t>
      </w:r>
    </w:p>
    <w:p>
      <w:pPr>
        <w:spacing w:after="80" w:before="80"/>
      </w:pPr>
      <w:r>
        <w:rPr>
          <w:rFonts w:ascii="Arial" w:cs="Arial" w:eastAsia="Arial" w:hAnsi="Arial"/>
          <w:color w:val="1A1A2E"/>
          <w:sz w:val="22"/>
          <w:szCs w:val="22"/>
        </w:rPr>
        <w:t xml:space="preserve">A: Done! The statement will reach your inbox within 30 minutes. Your interaction reference number is FTB-2024-0834521. Is there anything else I can help you with?</w:t>
      </w:r>
    </w:p>
    <w:p>
      <w:pPr>
        <w:spacing w:after="80" w:before="80"/>
      </w:pPr>
      <w:r>
        <w:rPr>
          <w:rFonts w:ascii="Arial" w:cs="Arial" w:eastAsia="Arial" w:hAnsi="Arial"/>
          <w:color w:val="1A1A2E"/>
          <w:sz w:val="22"/>
          <w:szCs w:val="22"/>
        </w:rPr>
        <w:t xml:space="preserve">C: No, that's all. Thanks.</w:t>
      </w:r>
    </w:p>
    <w:p>
      <w:pPr>
        <w:spacing w:after="80" w:before="80"/>
      </w:pPr>
      <w:r>
        <w:rPr>
          <w:rFonts w:ascii="Arial" w:cs="Arial" w:eastAsia="Arial" w:hAnsi="Arial"/>
          <w:color w:val="1A1A2E"/>
          <w:sz w:val="22"/>
          <w:szCs w:val="22"/>
        </w:rPr>
        <w:t xml:space="preserve">A: Thank you for banking with FutureTrust, Mr. Sharma. Have a wonderful day!</w:t>
      </w:r>
    </w:p>
    <w:p>
      <w:pPr>
        <w:spacing w:after="120" w:before="0"/>
      </w:pPr>
      <w:r>
        <w:t xml:space="preserve"/>
      </w:r>
    </w:p>
    <w:p>
      <w:pPr>
        <w:pStyle w:val="Heading2"/>
        <w:spacing w:after="160" w:before="280"/>
      </w:pPr>
      <w:r>
        <w:rPr>
          <w:rFonts w:ascii="Arial" w:cs="Arial" w:eastAsia="Arial" w:hAnsi="Arial"/>
          <w:b/>
          <w:bCs/>
          <w:color w:val="1F5C9E"/>
          <w:sz w:val="26"/>
          <w:szCs w:val="26"/>
        </w:rPr>
        <w:t xml:space="preserve">Conversation 2: Fraud Report – Unauthorized Transaction</w:t>
      </w:r>
    </w:p>
    <w:p>
      <w:pPr>
        <w:spacing w:after="80" w:before="80"/>
      </w:pPr>
      <w:r>
        <w:rPr>
          <w:rFonts w:ascii="Arial" w:cs="Arial" w:eastAsia="Arial" w:hAnsi="Arial"/>
          <w:color w:val="1A1A2E"/>
          <w:sz w:val="22"/>
          <w:szCs w:val="22"/>
        </w:rPr>
        <w:t xml:space="preserve">C: (Distressed) Hello! Someone just withdrew ₹45,000 from my account! I didn't do it!</w:t>
      </w:r>
    </w:p>
    <w:p>
      <w:pPr>
        <w:spacing w:after="80" w:before="80"/>
      </w:pPr>
      <w:r>
        <w:rPr>
          <w:rFonts w:ascii="Arial" w:cs="Arial" w:eastAsia="Arial" w:hAnsi="Arial"/>
          <w:color w:val="1A1A2E"/>
          <w:sz w:val="22"/>
          <w:szCs w:val="22"/>
        </w:rPr>
        <w:t xml:space="preserve">A: I completely understand your concern and I'm here to help right away. May I have your account number or registered mobile number so I can pull up your account?</w:t>
      </w:r>
    </w:p>
    <w:p>
      <w:pPr>
        <w:spacing w:after="80" w:before="80"/>
      </w:pPr>
      <w:r>
        <w:rPr>
          <w:rFonts w:ascii="Arial" w:cs="Arial" w:eastAsia="Arial" w:hAnsi="Arial"/>
          <w:color w:val="1A1A2E"/>
          <w:sz w:val="22"/>
          <w:szCs w:val="22"/>
        </w:rPr>
        <w:t xml:space="preserve">C: It's 9988001122.</w:t>
      </w:r>
    </w:p>
    <w:p>
      <w:pPr>
        <w:spacing w:after="80" w:before="80"/>
      </w:pPr>
      <w:r>
        <w:rPr>
          <w:rFonts w:ascii="Arial" w:cs="Arial" w:eastAsia="Arial" w:hAnsi="Arial"/>
          <w:color w:val="1A1A2E"/>
          <w:sz w:val="22"/>
          <w:szCs w:val="22"/>
        </w:rPr>
        <w:t xml:space="preserve">A: Sending OTP now... Thank you. I have your account, Ms. Patel. I can see the transaction you're referring to – an ATM withdrawal at 3:47 PM from Chennai. Are you currently in Chennai?</w:t>
      </w:r>
    </w:p>
    <w:p>
      <w:pPr>
        <w:spacing w:after="80" w:before="80"/>
      </w:pPr>
      <w:r>
        <w:rPr>
          <w:rFonts w:ascii="Arial" w:cs="Arial" w:eastAsia="Arial" w:hAnsi="Arial"/>
          <w:color w:val="1A1A2E"/>
          <w:sz w:val="22"/>
          <w:szCs w:val="22"/>
        </w:rPr>
        <w:t xml:space="preserve">C: No! I'm in Hyderabad! I haven't used my card today at all!</w:t>
      </w:r>
    </w:p>
    <w:p>
      <w:pPr>
        <w:spacing w:after="80" w:before="80"/>
      </w:pPr>
      <w:r>
        <w:rPr>
          <w:rFonts w:ascii="Arial" w:cs="Arial" w:eastAsia="Arial" w:hAnsi="Arial"/>
          <w:color w:val="1A1A2E"/>
          <w:sz w:val="22"/>
          <w:szCs w:val="22"/>
        </w:rPr>
        <w:t xml:space="preserve">A: Ms. Patel, I am blocking your debit card right now as we speak. Done – your card ending in 7823 has been blocked as of 4:12 PM. A block confirmation SMS has been sent to you. I'm also raising a fraud case with our Fraud Investigation Team immediately. Your Fraud Reference Number is FRN-2024-00892. Please note this down.</w:t>
      </w:r>
    </w:p>
    <w:p>
      <w:pPr>
        <w:spacing w:after="80" w:before="80"/>
      </w:pPr>
      <w:r>
        <w:rPr>
          <w:rFonts w:ascii="Arial" w:cs="Arial" w:eastAsia="Arial" w:hAnsi="Arial"/>
          <w:color w:val="1A1A2E"/>
          <w:sz w:val="22"/>
          <w:szCs w:val="22"/>
        </w:rPr>
        <w:t xml:space="preserve">C: Okay. Will I get my money back?</w:t>
      </w:r>
    </w:p>
    <w:p>
      <w:pPr>
        <w:spacing w:after="80" w:before="80"/>
      </w:pPr>
      <w:r>
        <w:rPr>
          <w:rFonts w:ascii="Arial" w:cs="Arial" w:eastAsia="Arial" w:hAnsi="Arial"/>
          <w:color w:val="1A1A2E"/>
          <w:sz w:val="22"/>
          <w:szCs w:val="22"/>
        </w:rPr>
        <w:t xml:space="preserve">A: I assure you we take fraud very seriously. Our team will investigate within 3 business days. As a preliminary step, I'm initiating a provisional credit review for ₹45,000 which our team will process within 24 hours pending initial investigation. You will also need to file an FIR at your nearest police station. I'm sending the process details to your email right now. Is there anything else you need help with, Ms. Patel?</w:t>
      </w:r>
    </w:p>
    <w:p>
      <w:pPr>
        <w:spacing w:after="120" w:before="0"/>
      </w:pPr>
      <w:r>
        <w:t xml:space="preserve"/>
      </w:r>
    </w:p>
    <w:p>
      <w:pPr>
        <w:pStyle w:val="Heading2"/>
        <w:spacing w:after="160" w:before="280"/>
      </w:pPr>
      <w:r>
        <w:rPr>
          <w:rFonts w:ascii="Arial" w:cs="Arial" w:eastAsia="Arial" w:hAnsi="Arial"/>
          <w:b/>
          <w:bCs/>
          <w:color w:val="1F5C9E"/>
          <w:sz w:val="26"/>
          <w:szCs w:val="26"/>
        </w:rPr>
        <w:t xml:space="preserve">Conversation 3: Loan EMI Query</w:t>
      </w:r>
    </w:p>
    <w:p>
      <w:pPr>
        <w:spacing w:after="80" w:before="80"/>
      </w:pPr>
      <w:r>
        <w:rPr>
          <w:rFonts w:ascii="Arial" w:cs="Arial" w:eastAsia="Arial" w:hAnsi="Arial"/>
          <w:color w:val="1A1A2E"/>
          <w:sz w:val="22"/>
          <w:szCs w:val="22"/>
        </w:rPr>
        <w:t xml:space="preserve">C: I want to know my next EMI date and outstanding loan balance.</w:t>
      </w:r>
    </w:p>
    <w:p>
      <w:pPr>
        <w:spacing w:after="80" w:before="80"/>
      </w:pPr>
      <w:r>
        <w:rPr>
          <w:rFonts w:ascii="Arial" w:cs="Arial" w:eastAsia="Arial" w:hAnsi="Arial"/>
          <w:color w:val="1A1A2E"/>
          <w:sz w:val="22"/>
          <w:szCs w:val="22"/>
        </w:rPr>
        <w:t xml:space="preserve">A: Happy to help! Could you share your loan account number or registered mobile number for verification?</w:t>
      </w:r>
    </w:p>
    <w:p>
      <w:pPr>
        <w:spacing w:after="80" w:before="80"/>
      </w:pPr>
      <w:r>
        <w:rPr>
          <w:rFonts w:ascii="Arial" w:cs="Arial" w:eastAsia="Arial" w:hAnsi="Arial"/>
          <w:color w:val="1A1A2E"/>
          <w:sz w:val="22"/>
          <w:szCs w:val="22"/>
        </w:rPr>
        <w:t xml:space="preserve">C: Mobile: 9123456789.</w:t>
      </w:r>
    </w:p>
    <w:p>
      <w:pPr>
        <w:spacing w:after="80" w:before="80"/>
      </w:pPr>
      <w:r>
        <w:rPr>
          <w:rFonts w:ascii="Arial" w:cs="Arial" w:eastAsia="Arial" w:hAnsi="Arial"/>
          <w:color w:val="1A1A2E"/>
          <w:sz w:val="22"/>
          <w:szCs w:val="22"/>
        </w:rPr>
        <w:t xml:space="preserve">A: OTP verified. Mr. Rajan, you have a Personal Loan of ₹5,00,000 sanctioned on March 15, 2023. Your current outstanding principal is ₹3,24,180. The next EMI of ₹11,200 is due on July 5, 2024. You've completed 16 out of 48 installments.</w:t>
      </w:r>
    </w:p>
    <w:p>
      <w:pPr>
        <w:spacing w:after="80" w:before="80"/>
      </w:pPr>
      <w:r>
        <w:rPr>
          <w:rFonts w:ascii="Arial" w:cs="Arial" w:eastAsia="Arial" w:hAnsi="Arial"/>
          <w:color w:val="1A1A2E"/>
          <w:sz w:val="22"/>
          <w:szCs w:val="22"/>
        </w:rPr>
        <w:t xml:space="preserve">C: Can I know the foreclosure amount if I want to close the loan today?</w:t>
      </w:r>
    </w:p>
    <w:p>
      <w:pPr>
        <w:spacing w:after="80" w:before="80"/>
      </w:pPr>
      <w:r>
        <w:rPr>
          <w:rFonts w:ascii="Arial" w:cs="Arial" w:eastAsia="Arial" w:hAnsi="Arial"/>
          <w:color w:val="1A1A2E"/>
          <w:sz w:val="22"/>
          <w:szCs w:val="22"/>
        </w:rPr>
        <w:t xml:space="preserve">A: Yes. The foreclosure amount as of today would be ₹3,24,180 (principal) plus ₹9,725 (foreclosure charges at 3%) plus ₹1,863 (interest till date) = approximately ₹3,35,768. This is subject to daily interest accrual. Should I send the detailed foreclosure schedule to your registered email?</w:t>
      </w:r>
    </w:p>
    <w:p>
      <w:pPr>
        <w:spacing w:after="80" w:before="80"/>
      </w:pPr>
      <w:r>
        <w:rPr>
          <w:rFonts w:ascii="Arial" w:cs="Arial" w:eastAsia="Arial" w:hAnsi="Arial"/>
          <w:color w:val="1A1A2E"/>
          <w:sz w:val="22"/>
          <w:szCs w:val="22"/>
        </w:rPr>
        <w:t xml:space="preserve">C: Yes please. How do I pay it?</w:t>
      </w:r>
    </w:p>
    <w:p>
      <w:pPr>
        <w:spacing w:after="80" w:before="80"/>
      </w:pPr>
      <w:r>
        <w:rPr>
          <w:rFonts w:ascii="Arial" w:cs="Arial" w:eastAsia="Arial" w:hAnsi="Arial"/>
          <w:color w:val="1A1A2E"/>
          <w:sz w:val="22"/>
          <w:szCs w:val="22"/>
        </w:rPr>
        <w:t xml:space="preserve">A: You can pay via NEFT to Loan Account Number 100200300400 with IFSC FUTB0001001, or visit the nearest branch. After full payment, your No Objection Certificate (NOC) will be dispatched within 15 working days.</w:t>
      </w:r>
    </w:p>
    <w:p>
      <w:pPr>
        <w:spacing w:after="120" w:before="0"/>
      </w:pPr>
      <w:r>
        <w:t xml:space="preserve"/>
      </w:r>
    </w:p>
    <w:p>
      <w:pPr>
        <w:pStyle w:val="Heading2"/>
        <w:spacing w:after="160" w:before="280"/>
      </w:pPr>
      <w:r>
        <w:rPr>
          <w:rFonts w:ascii="Arial" w:cs="Arial" w:eastAsia="Arial" w:hAnsi="Arial"/>
          <w:b/>
          <w:bCs/>
          <w:color w:val="1F5C9E"/>
          <w:sz w:val="26"/>
          <w:szCs w:val="26"/>
        </w:rPr>
        <w:t xml:space="preserve">Conversation 4: KYC Update – Account Frozen</w:t>
      </w:r>
    </w:p>
    <w:p>
      <w:pPr>
        <w:spacing w:after="80" w:before="80"/>
      </w:pPr>
      <w:r>
        <w:rPr>
          <w:rFonts w:ascii="Arial" w:cs="Arial" w:eastAsia="Arial" w:hAnsi="Arial"/>
          <w:color w:val="1A1A2E"/>
          <w:sz w:val="22"/>
          <w:szCs w:val="22"/>
        </w:rPr>
        <w:t xml:space="preserve">C: (Upset) My account has been frozen! I can't withdraw money! I need it urgently!</w:t>
      </w:r>
    </w:p>
    <w:p>
      <w:pPr>
        <w:spacing w:after="80" w:before="80"/>
      </w:pPr>
      <w:r>
        <w:rPr>
          <w:rFonts w:ascii="Arial" w:cs="Arial" w:eastAsia="Arial" w:hAnsi="Arial"/>
          <w:color w:val="1A1A2E"/>
          <w:sz w:val="22"/>
          <w:szCs w:val="22"/>
        </w:rPr>
        <w:t xml:space="preserve">A: I understand how stressful this must be. Let me look into this immediately. Could you please share your account details for verification?</w:t>
      </w:r>
    </w:p>
    <w:p>
      <w:pPr>
        <w:spacing w:after="80" w:before="80"/>
      </w:pPr>
      <w:r>
        <w:rPr>
          <w:rFonts w:ascii="Arial" w:cs="Arial" w:eastAsia="Arial" w:hAnsi="Arial"/>
          <w:color w:val="1A1A2E"/>
          <w:sz w:val="22"/>
          <w:szCs w:val="22"/>
        </w:rPr>
        <w:t xml:space="preserve">C: Account 550033220011.</w:t>
      </w:r>
    </w:p>
    <w:p>
      <w:pPr>
        <w:spacing w:after="80" w:before="80"/>
      </w:pPr>
      <w:r>
        <w:rPr>
          <w:rFonts w:ascii="Arial" w:cs="Arial" w:eastAsia="Arial" w:hAnsi="Arial"/>
          <w:color w:val="1A1A2E"/>
          <w:sz w:val="22"/>
          <w:szCs w:val="22"/>
        </w:rPr>
        <w:t xml:space="preserve">A: Thank you for verifying. I can see your account has been placed under a KYC freeze as of June 10, 2024. This happens when the bank's records show your KYC documents are due for periodic re-verification under RBI guidelines. I'm sorry you weren't adequately notified.</w:t>
      </w:r>
    </w:p>
    <w:p>
      <w:pPr>
        <w:spacing w:after="80" w:before="80"/>
      </w:pPr>
      <w:r>
        <w:rPr>
          <w:rFonts w:ascii="Arial" w:cs="Arial" w:eastAsia="Arial" w:hAnsi="Arial"/>
          <w:color w:val="1A1A2E"/>
          <w:sz w:val="22"/>
          <w:szCs w:val="22"/>
        </w:rPr>
        <w:t xml:space="preserve">C: Nobody told me! What do I need to do?</w:t>
      </w:r>
    </w:p>
    <w:p>
      <w:pPr>
        <w:spacing w:after="80" w:before="80"/>
      </w:pPr>
      <w:r>
        <w:rPr>
          <w:rFonts w:ascii="Arial" w:cs="Arial" w:eastAsia="Arial" w:hAnsi="Arial"/>
          <w:color w:val="1A1A2E"/>
          <w:sz w:val="22"/>
          <w:szCs w:val="22"/>
        </w:rPr>
        <w:t xml:space="preserve">A: I apologize for the inconvenience. You have two quick options: Option 1 – Visit your nearest FutureTrust branch today with your Aadhaar and PAN. Your account will be unfrozen within 1 working hour of successful document submission. Option 2 – Complete Video KYC on the FuturePay App under Profile &gt; Update KYC. This takes about 10 minutes and the account is unfrozen within 4 hours. Which would you prefer?</w:t>
      </w:r>
    </w:p>
    <w:p>
      <w:pPr>
        <w:spacing w:after="80" w:before="80"/>
      </w:pPr>
      <w:r>
        <w:rPr>
          <w:rFonts w:ascii="Arial" w:cs="Arial" w:eastAsia="Arial" w:hAnsi="Arial"/>
          <w:color w:val="1A1A2E"/>
          <w:sz w:val="22"/>
          <w:szCs w:val="22"/>
        </w:rPr>
        <w:t xml:space="preserve">C: I'll go to the branch. Can you tell me the nearest one?</w:t>
      </w:r>
    </w:p>
    <w:p>
      <w:pPr>
        <w:spacing w:after="80" w:before="80"/>
      </w:pPr>
      <w:r>
        <w:rPr>
          <w:rFonts w:ascii="Arial" w:cs="Arial" w:eastAsia="Arial" w:hAnsi="Arial"/>
          <w:color w:val="1A1A2E"/>
          <w:sz w:val="22"/>
          <w:szCs w:val="22"/>
        </w:rPr>
        <w:t xml:space="preserve">A: Of course! Based on your registered address in Banjara Hills, the nearest branch is at Road No. 12, Banjara Hills – 0.8 km from you. They open at 9:30 AM. Do you need me to schedule an appointment?</w:t>
      </w:r>
    </w:p>
    <w:p>
      <w:pPr>
        <w:spacing w:after="80" w:before="80"/>
      </w:pPr>
      <w:r>
        <w:rPr>
          <w:rFonts w:ascii="Arial" w:cs="Arial" w:eastAsia="Arial" w:hAnsi="Arial"/>
          <w:color w:val="1A1A2E"/>
          <w:sz w:val="22"/>
          <w:szCs w:val="22"/>
        </w:rPr>
        <w:t xml:space="preserve">C: Yes please.</w:t>
      </w:r>
    </w:p>
    <w:p>
      <w:pPr>
        <w:spacing w:after="80" w:before="80"/>
      </w:pPr>
      <w:r>
        <w:rPr>
          <w:rFonts w:ascii="Arial" w:cs="Arial" w:eastAsia="Arial" w:hAnsi="Arial"/>
          <w:color w:val="1A1A2E"/>
          <w:sz w:val="22"/>
          <w:szCs w:val="22"/>
        </w:rPr>
        <w:t xml:space="preserve">A: Appointment scheduled for 10:00 AM tomorrow, June 21st. Reference number KYC-APPT-2024-4521. The branch team will be expecting you. Is there anything else I can help with?</w:t>
      </w:r>
    </w:p>
    <w:p>
      <w:r>
        <w:br w:type="page"/>
      </w:r>
    </w:p>
    <w:p>
      <w:pPr>
        <w:pStyle w:val="Heading1"/>
        <w:spacing w:after="200" w:before="360"/>
      </w:pPr>
      <w:r>
        <w:rPr>
          <w:rFonts w:ascii="Arial" w:cs="Arial" w:eastAsia="Arial" w:hAnsi="Arial"/>
          <w:b/>
          <w:bCs/>
          <w:color w:val="003366"/>
          <w:sz w:val="32"/>
          <w:szCs w:val="32"/>
        </w:rPr>
        <w:t xml:space="preserve">20. Voice Assistant Response Examples</w:t>
      </w:r>
    </w:p>
    <w:p>
      <w:pPr>
        <w:spacing w:after="80" w:before="80"/>
      </w:pPr>
      <w:r>
        <w:rPr>
          <w:rFonts w:ascii="Arial" w:cs="Arial" w:eastAsia="Arial" w:hAnsi="Arial"/>
          <w:color w:val="1A1A2E"/>
          <w:sz w:val="22"/>
          <w:szCs w:val="22"/>
        </w:rPr>
        <w:t xml:space="preserve">These examples are optimized for FutureTrust Bank's Voice-Enabled AI Banking Assistant powered by Groq, LangChain, FAISS, Whisper, and RAG.</w:t>
      </w:r>
    </w:p>
    <w:p>
      <w:pPr>
        <w:spacing w:after="120" w:before="0"/>
      </w:pPr>
      <w:r>
        <w:t xml:space="preserve"/>
      </w:r>
    </w:p>
    <w:p>
      <w:pPr>
        <w:pStyle w:val="Heading2"/>
        <w:spacing w:after="160" w:before="280"/>
      </w:pPr>
      <w:r>
        <w:rPr>
          <w:rFonts w:ascii="Arial" w:cs="Arial" w:eastAsia="Arial" w:hAnsi="Arial"/>
          <w:b/>
          <w:bCs/>
          <w:color w:val="1F5C9E"/>
          <w:sz w:val="26"/>
          <w:szCs w:val="26"/>
        </w:rPr>
        <w:t xml:space="preserve">20.1 Simple Inquiry Responses</w:t>
      </w:r>
    </w:p>
    <w:p>
      <w:pPr>
        <w:spacing w:after="80" w:before="80"/>
      </w:pPr>
      <w:r>
        <w:rPr>
          <w:rFonts w:ascii="Arial" w:cs="Arial" w:eastAsia="Arial" w:hAnsi="Arial"/>
          <w:color w:val="1A1A2E"/>
          <w:sz w:val="22"/>
          <w:szCs w:val="22"/>
        </w:rPr>
        <w:t xml:space="preserve">User: What are FutureTrust Bank's customer service timings?</w:t>
      </w:r>
    </w:p>
    <w:p>
      <w:pPr>
        <w:spacing w:after="80" w:before="80"/>
      </w:pPr>
      <w:r>
        <w:rPr>
          <w:rFonts w:ascii="Arial" w:cs="Arial" w:eastAsia="Arial" w:hAnsi="Arial"/>
          <w:color w:val="1A1A2E"/>
          <w:sz w:val="22"/>
          <w:szCs w:val="22"/>
        </w:rPr>
        <w:t xml:space="preserve">Voice Assistant: FutureTrust Bank's customer care helpline is available 24 hours a day, 7 days a week, 365 days a year, including all public holidays. You can reach us at 1800-FTB-CARE, which is toll-free. Live chat support is available from 6 AM to 11 PM IST on our website and the FuturePay App. Would you like me to connect you to an agent right now?</w:t>
      </w:r>
    </w:p>
    <w:p>
      <w:pPr>
        <w:spacing w:after="120" w:before="0"/>
      </w:pPr>
      <w:r>
        <w:t xml:space="preserve"/>
      </w:r>
    </w:p>
    <w:p>
      <w:pPr>
        <w:spacing w:after="80" w:before="80"/>
      </w:pPr>
      <w:r>
        <w:rPr>
          <w:rFonts w:ascii="Arial" w:cs="Arial" w:eastAsia="Arial" w:hAnsi="Arial"/>
          <w:color w:val="1A1A2E"/>
          <w:sz w:val="22"/>
          <w:szCs w:val="22"/>
        </w:rPr>
        <w:t xml:space="preserve">User: What is the toll-free number for FutureTrust Bank?</w:t>
      </w:r>
    </w:p>
    <w:p>
      <w:pPr>
        <w:spacing w:after="80" w:before="80"/>
      </w:pPr>
      <w:r>
        <w:rPr>
          <w:rFonts w:ascii="Arial" w:cs="Arial" w:eastAsia="Arial" w:hAnsi="Arial"/>
          <w:color w:val="1A1A2E"/>
          <w:sz w:val="22"/>
          <w:szCs w:val="22"/>
        </w:rPr>
        <w:t xml:space="preserve">Voice Assistant: You can reach FutureTrust Bank's customer care at 1800-FTB-CARE, which stands for 1800-382-2273. This line is available 24 hours a day, every day of the year, at absolutely no charge to you. For fraud emergencies, our dedicated hotline is 1800-FTB-SAFE. Is there something specific I can help you with right now?</w:t>
      </w:r>
    </w:p>
    <w:p>
      <w:pPr>
        <w:spacing w:after="120" w:before="0"/>
      </w:pPr>
      <w:r>
        <w:t xml:space="preserve"/>
      </w:r>
    </w:p>
    <w:p>
      <w:pPr>
        <w:pStyle w:val="Heading2"/>
        <w:spacing w:after="160" w:before="280"/>
      </w:pPr>
      <w:r>
        <w:rPr>
          <w:rFonts w:ascii="Arial" w:cs="Arial" w:eastAsia="Arial" w:hAnsi="Arial"/>
          <w:b/>
          <w:bCs/>
          <w:color w:val="1F5C9E"/>
          <w:sz w:val="26"/>
          <w:szCs w:val="26"/>
        </w:rPr>
        <w:t xml:space="preserve">20.2 Account-Related Voice Responses</w:t>
      </w:r>
    </w:p>
    <w:p>
      <w:pPr>
        <w:spacing w:after="80" w:before="80"/>
      </w:pPr>
      <w:r>
        <w:rPr>
          <w:rFonts w:ascii="Arial" w:cs="Arial" w:eastAsia="Arial" w:hAnsi="Arial"/>
          <w:color w:val="1A1A2E"/>
          <w:sz w:val="22"/>
          <w:szCs w:val="22"/>
        </w:rPr>
        <w:t xml:space="preserve">User: How do I check my account balance?</w:t>
      </w:r>
    </w:p>
    <w:p>
      <w:pPr>
        <w:spacing w:after="80" w:before="80"/>
      </w:pPr>
      <w:r>
        <w:rPr>
          <w:rFonts w:ascii="Arial" w:cs="Arial" w:eastAsia="Arial" w:hAnsi="Arial"/>
          <w:color w:val="1A1A2E"/>
          <w:sz w:val="22"/>
          <w:szCs w:val="22"/>
        </w:rPr>
        <w:t xml:space="preserve">Voice Assistant: You have several convenient ways to check your FutureTrust account balance. First, I can help you check it right here if you'd like to verify your identity. Second, you can dial our missed call balance service at 09000-FTB-BAL. Third, log into the FuturePay App or NetBanking at futuretrustbank.in. Finally, you can visit any FutureTrust ATM. Which option works best for you?</w:t>
      </w:r>
    </w:p>
    <w:p>
      <w:pPr>
        <w:spacing w:after="120" w:before="0"/>
      </w:pPr>
      <w:r>
        <w:t xml:space="preserve"/>
      </w:r>
    </w:p>
    <w:p>
      <w:pPr>
        <w:spacing w:after="80" w:before="80"/>
      </w:pPr>
      <w:r>
        <w:rPr>
          <w:rFonts w:ascii="Arial" w:cs="Arial" w:eastAsia="Arial" w:hAnsi="Arial"/>
          <w:color w:val="1A1A2E"/>
          <w:sz w:val="22"/>
          <w:szCs w:val="22"/>
        </w:rPr>
        <w:t xml:space="preserve">User: My debit card is lost. What should I do?</w:t>
      </w:r>
    </w:p>
    <w:p>
      <w:pPr>
        <w:spacing w:after="80" w:before="80"/>
      </w:pPr>
      <w:r>
        <w:rPr>
          <w:rFonts w:ascii="Arial" w:cs="Arial" w:eastAsia="Arial" w:hAnsi="Arial"/>
          <w:color w:val="1A1A2E"/>
          <w:sz w:val="22"/>
          <w:szCs w:val="22"/>
        </w:rPr>
        <w:t xml:space="preserve">Voice Assistant: I'm sorry to hear that. Let's secure your account right away. I'll block your card immediately once you verify your identity. Please have your account number or registered mobile number ready. Once blocked, I'll initiate a replacement card that will reach you within 7 to 10 working days, or in 48 hours if you opt for express delivery. Shall we begin the verification now?</w:t>
      </w:r>
    </w:p>
    <w:p>
      <w:pPr>
        <w:spacing w:after="120" w:before="0"/>
      </w:pPr>
      <w:r>
        <w:t xml:space="preserve"/>
      </w:r>
    </w:p>
    <w:p>
      <w:pPr>
        <w:pStyle w:val="Heading2"/>
        <w:spacing w:after="160" w:before="280"/>
      </w:pPr>
      <w:r>
        <w:rPr>
          <w:rFonts w:ascii="Arial" w:cs="Arial" w:eastAsia="Arial" w:hAnsi="Arial"/>
          <w:b/>
          <w:bCs/>
          <w:color w:val="1F5C9E"/>
          <w:sz w:val="26"/>
          <w:szCs w:val="26"/>
        </w:rPr>
        <w:t xml:space="preserve">20.3 Fraud Alert Voice Responses</w:t>
      </w:r>
    </w:p>
    <w:p>
      <w:pPr>
        <w:spacing w:after="80" w:before="80"/>
      </w:pPr>
      <w:r>
        <w:rPr>
          <w:rFonts w:ascii="Arial" w:cs="Arial" w:eastAsia="Arial" w:hAnsi="Arial"/>
          <w:color w:val="1A1A2E"/>
          <w:sz w:val="22"/>
          <w:szCs w:val="22"/>
        </w:rPr>
        <w:t xml:space="preserve">User: I see a transaction I did not make in my account.</w:t>
      </w:r>
    </w:p>
    <w:p>
      <w:pPr>
        <w:spacing w:after="80" w:before="80"/>
      </w:pPr>
      <w:r>
        <w:rPr>
          <w:rFonts w:ascii="Arial" w:cs="Arial" w:eastAsia="Arial" w:hAnsi="Arial"/>
          <w:color w:val="1A1A2E"/>
          <w:sz w:val="22"/>
          <w:szCs w:val="22"/>
        </w:rPr>
        <w:t xml:space="preserve">Voice Assistant: I take this very seriously. Please stay calm – your money is a priority. I'll help you report this right away. First, let me verify your identity. Once verified, I can block your card immediately, freeze the account if needed, and file a fraud report for you. Our Fraud Investigation Team will review your case within 3 business days. If the fraud is confirmed, your money will be refunded. Shall we begin your identity verification now?</w:t>
      </w:r>
    </w:p>
    <w:p>
      <w:pPr>
        <w:spacing w:after="120" w:before="0"/>
      </w:pPr>
      <w:r>
        <w:t xml:space="preserve"/>
      </w:r>
    </w:p>
    <w:p>
      <w:pPr>
        <w:pStyle w:val="Heading2"/>
        <w:spacing w:after="160" w:before="280"/>
      </w:pPr>
      <w:r>
        <w:rPr>
          <w:rFonts w:ascii="Arial" w:cs="Arial" w:eastAsia="Arial" w:hAnsi="Arial"/>
          <w:b/>
          <w:bCs/>
          <w:color w:val="1F5C9E"/>
          <w:sz w:val="26"/>
          <w:szCs w:val="26"/>
        </w:rPr>
        <w:t xml:space="preserve">20.4 Loan Inquiry Voice Responses</w:t>
      </w:r>
    </w:p>
    <w:p>
      <w:pPr>
        <w:spacing w:after="80" w:before="80"/>
      </w:pPr>
      <w:r>
        <w:rPr>
          <w:rFonts w:ascii="Arial" w:cs="Arial" w:eastAsia="Arial" w:hAnsi="Arial"/>
          <w:color w:val="1A1A2E"/>
          <w:sz w:val="22"/>
          <w:szCs w:val="22"/>
        </w:rPr>
        <w:t xml:space="preserve">User: Am I eligible for a personal loan from FutureTrust?</w:t>
      </w:r>
    </w:p>
    <w:p>
      <w:pPr>
        <w:spacing w:after="80" w:before="80"/>
      </w:pPr>
      <w:r>
        <w:rPr>
          <w:rFonts w:ascii="Arial" w:cs="Arial" w:eastAsia="Arial" w:hAnsi="Arial"/>
          <w:color w:val="1A1A2E"/>
          <w:sz w:val="22"/>
          <w:szCs w:val="22"/>
        </w:rPr>
        <w:t xml:space="preserve">Voice Assistant: FutureTrust offers personal loans from ₹50,000 up to ₹25 lakhs. To be eligible, you generally need to be between 23 and 60 years old if salaried, or 25 to 65 if self-employed, with a minimum monthly income of ₹25,000 and a CIBIL score of at least 700. Would you like me to check your pre-approved loan offers based on your existing relationship with us? This won't affect your credit score.</w:t>
      </w:r>
    </w:p>
    <w:p>
      <w:pPr>
        <w:spacing w:after="120" w:before="0"/>
      </w:pPr>
      <w:r>
        <w:t xml:space="preserve"/>
      </w:r>
    </w:p>
    <w:p>
      <w:pPr>
        <w:pStyle w:val="Heading2"/>
        <w:spacing w:after="160" w:before="280"/>
      </w:pPr>
      <w:r>
        <w:rPr>
          <w:rFonts w:ascii="Arial" w:cs="Arial" w:eastAsia="Arial" w:hAnsi="Arial"/>
          <w:b/>
          <w:bCs/>
          <w:color w:val="1F5C9E"/>
          <w:sz w:val="26"/>
          <w:szCs w:val="26"/>
        </w:rPr>
        <w:t xml:space="preserve">20.5 Empathetic Escalation Response</w:t>
      </w:r>
    </w:p>
    <w:p>
      <w:pPr>
        <w:spacing w:after="80" w:before="80"/>
      </w:pPr>
      <w:r>
        <w:rPr>
          <w:rFonts w:ascii="Arial" w:cs="Arial" w:eastAsia="Arial" w:hAnsi="Arial"/>
          <w:color w:val="1A1A2E"/>
          <w:sz w:val="22"/>
          <w:szCs w:val="22"/>
        </w:rPr>
        <w:t xml:space="preserve">User: I've been calling for three days and nobody has resolved my issue. I'm very frustrated.</w:t>
      </w:r>
    </w:p>
    <w:p>
      <w:pPr>
        <w:spacing w:after="80" w:before="80"/>
      </w:pPr>
      <w:r>
        <w:rPr>
          <w:rFonts w:ascii="Arial" w:cs="Arial" w:eastAsia="Arial" w:hAnsi="Arial"/>
          <w:color w:val="1A1A2E"/>
          <w:sz w:val="22"/>
          <w:szCs w:val="22"/>
        </w:rPr>
        <w:t xml:space="preserve">Voice Assistant: I completely understand your frustration, and I sincerely apologize that your issue has not been resolved yet despite multiple contacts. That is not the standard of service you deserve from FutureTrust Bank. I am immediately escalating your case to a Senior Complaint Resolution Officer who will personally call you back within 2 hours. I'm also tagging this as a Priority Case which bypasses normal queues. May I have your preferred callback number? I will personally ensure your case is flagged right now.</w:t>
      </w:r>
    </w:p>
    <w:p>
      <w:pPr>
        <w:spacing w:after="120" w:before="0"/>
      </w:pPr>
      <w:r>
        <w:t xml:space="preserve"/>
      </w:r>
    </w:p>
    <w:p>
      <w:pPr>
        <w:pStyle w:val="Heading2"/>
        <w:spacing w:after="160" w:before="280"/>
      </w:pPr>
      <w:r>
        <w:rPr>
          <w:rFonts w:ascii="Arial" w:cs="Arial" w:eastAsia="Arial" w:hAnsi="Arial"/>
          <w:b/>
          <w:bCs/>
          <w:color w:val="1F5C9E"/>
          <w:sz w:val="26"/>
          <w:szCs w:val="26"/>
        </w:rPr>
        <w:t xml:space="preserve">20.6 Digital Banking Voice Responses</w:t>
      </w:r>
    </w:p>
    <w:p>
      <w:pPr>
        <w:spacing w:after="80" w:before="80"/>
      </w:pPr>
      <w:r>
        <w:rPr>
          <w:rFonts w:ascii="Arial" w:cs="Arial" w:eastAsia="Arial" w:hAnsi="Arial"/>
          <w:color w:val="1A1A2E"/>
          <w:sz w:val="22"/>
          <w:szCs w:val="22"/>
        </w:rPr>
        <w:t xml:space="preserve">User: I forgot my NetBanking password. How do I reset it?</w:t>
      </w:r>
    </w:p>
    <w:p>
      <w:pPr>
        <w:spacing w:after="80" w:before="80"/>
      </w:pPr>
      <w:r>
        <w:rPr>
          <w:rFonts w:ascii="Arial" w:cs="Arial" w:eastAsia="Arial" w:hAnsi="Arial"/>
          <w:color w:val="1A1A2E"/>
          <w:sz w:val="22"/>
          <w:szCs w:val="22"/>
        </w:rPr>
        <w:t xml:space="preserve">Voice Assistant: No problem at all – resetting your NetBanking password is quick and secure. Visit futuretrustbank.in and click 'Forgot Password' on the login page. You'll receive a one-time password on your registered mobile number. After verifying, you can set a new password of your choice. Alternatively, you can reset it via the FuturePay Mobile App under Settings, or visit your nearest branch. Would you like step-by-step guidance through the online reset process right now?</w:t>
      </w:r>
    </w:p>
    <w:p>
      <w:r>
        <w:br w:type="page"/>
      </w:r>
    </w:p>
    <w:p>
      <w:pPr>
        <w:pStyle w:val="Heading1"/>
        <w:spacing w:after="200" w:before="360"/>
      </w:pPr>
      <w:r>
        <w:rPr>
          <w:rFonts w:ascii="Arial" w:cs="Arial" w:eastAsia="Arial" w:hAnsi="Arial"/>
          <w:b/>
          <w:bCs/>
          <w:color w:val="003366"/>
          <w:sz w:val="32"/>
          <w:szCs w:val="32"/>
        </w:rPr>
        <w:t xml:space="preserve">21. Question-Answer Dataset for RAG System</w:t>
      </w:r>
    </w:p>
    <w:p>
      <w:pPr>
        <w:spacing w:after="80" w:before="80"/>
      </w:pPr>
      <w:r>
        <w:rPr>
          <w:rFonts w:ascii="Arial" w:cs="Arial" w:eastAsia="Arial" w:hAnsi="Arial"/>
          <w:color w:val="1A1A2E"/>
          <w:sz w:val="22"/>
          <w:szCs w:val="22"/>
        </w:rPr>
        <w:t xml:space="preserve">The following dataset contains 100+ unique QA pairs structured for vector database ingestion. Each entry includes Category, Subcategory, Question, and Answer.</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2980"/>
        <w:gridCol w:w="4380"/>
      </w:tblGrid>
      <w:tr>
        <w:tc>
          <w:tcPr>
            <w:tcW w:type="dxa" w:w="900"/>
            <w:tcBorders>
              <w:top w:val="single" w:color="AECDE0" w:sz="1"/>
              <w:left w:val="single" w:color="AECDE0" w:sz="1"/>
              <w:bottom w:val="single" w:color="AECDE0" w:sz="1"/>
              <w:right w:val="single" w:color="AECDE0" w:sz="1"/>
            </w:tcBorders>
            <w:shd w:fill="00336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1100"/>
            <w:tcBorders>
              <w:top w:val="single" w:color="AECDE0" w:sz="1"/>
              <w:left w:val="single" w:color="AECDE0" w:sz="1"/>
              <w:bottom w:val="single" w:color="AECDE0" w:sz="1"/>
              <w:right w:val="single" w:color="AECDE0" w:sz="1"/>
            </w:tcBorders>
            <w:shd w:fill="00336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Subcategory</w:t>
            </w:r>
          </w:p>
        </w:tc>
        <w:tc>
          <w:tcPr>
            <w:tcW w:type="dxa" w:w="2980"/>
            <w:tcBorders>
              <w:top w:val="single" w:color="AECDE0" w:sz="1"/>
              <w:left w:val="single" w:color="AECDE0" w:sz="1"/>
              <w:bottom w:val="single" w:color="AECDE0" w:sz="1"/>
              <w:right w:val="single" w:color="AECDE0" w:sz="1"/>
            </w:tcBorders>
            <w:shd w:fill="00336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Question</w:t>
            </w:r>
          </w:p>
        </w:tc>
        <w:tc>
          <w:tcPr>
            <w:tcW w:type="dxa" w:w="4380"/>
            <w:tcBorders>
              <w:top w:val="single" w:color="AECDE0" w:sz="1"/>
              <w:left w:val="single" w:color="AECDE0" w:sz="1"/>
              <w:bottom w:val="single" w:color="AECDE0" w:sz="1"/>
              <w:right w:val="single" w:color="AECDE0" w:sz="1"/>
            </w:tcBorders>
            <w:shd w:fill="00336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Answer</w:t>
            </w:r>
          </w:p>
        </w:tc>
      </w:tr>
      <w:tr>
        <w:tc>
          <w:tcPr>
            <w:tcW w:type="dxa" w:w="9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General</w:t>
            </w:r>
          </w:p>
        </w:tc>
        <w:tc>
          <w:tcPr>
            <w:tcW w:type="dxa" w:w="11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Hours</w:t>
            </w:r>
          </w:p>
        </w:tc>
        <w:tc>
          <w:tcPr>
            <w:tcW w:type="dxa" w:w="29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What are FutureTrust Bank customer care hours?</w:t>
            </w:r>
          </w:p>
        </w:tc>
        <w:tc>
          <w:tcPr>
            <w:tcW w:type="dxa" w:w="43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FutureTrust Bank customer care (1800-FTB-CARE) is available 24/7, 365 days a year.</w:t>
            </w:r>
          </w:p>
        </w:tc>
      </w:tr>
      <w:tr>
        <w:tc>
          <w:tcPr>
            <w:tcW w:type="dxa" w:w="9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General</w:t>
            </w:r>
          </w:p>
        </w:tc>
        <w:tc>
          <w:tcPr>
            <w:tcW w:type="dxa" w:w="11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Contact</w:t>
            </w:r>
          </w:p>
        </w:tc>
        <w:tc>
          <w:tcPr>
            <w:tcW w:type="dxa" w:w="29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What is the toll-free number of FutureTrust Bank?</w:t>
            </w:r>
          </w:p>
        </w:tc>
        <w:tc>
          <w:tcPr>
            <w:tcW w:type="dxa" w:w="43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The toll-free number is 1800-FTB-CARE (1800-382-2273). It is available 24/7 at no charge.</w:t>
            </w:r>
          </w:p>
        </w:tc>
      </w:tr>
      <w:tr>
        <w:tc>
          <w:tcPr>
            <w:tcW w:type="dxa" w:w="9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General</w:t>
            </w:r>
          </w:p>
        </w:tc>
        <w:tc>
          <w:tcPr>
            <w:tcW w:type="dxa" w:w="11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Contact</w:t>
            </w:r>
          </w:p>
        </w:tc>
        <w:tc>
          <w:tcPr>
            <w:tcW w:type="dxa" w:w="29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What is FutureTrust Bank's fraud emergency helpline?</w:t>
            </w:r>
          </w:p>
        </w:tc>
        <w:tc>
          <w:tcPr>
            <w:tcW w:type="dxa" w:w="43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The fraud emergency hotline is 1800-FTB-SAFE (1800-382-7233), available 24/7 for priority response.</w:t>
            </w:r>
          </w:p>
        </w:tc>
      </w:tr>
      <w:tr>
        <w:tc>
          <w:tcPr>
            <w:tcW w:type="dxa" w:w="9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General</w:t>
            </w:r>
          </w:p>
        </w:tc>
        <w:tc>
          <w:tcPr>
            <w:tcW w:type="dxa" w:w="11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Contact</w:t>
            </w:r>
          </w:p>
        </w:tc>
        <w:tc>
          <w:tcPr>
            <w:tcW w:type="dxa" w:w="29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How can I email FutureTrust Bank for a complaint?</w:t>
            </w:r>
          </w:p>
        </w:tc>
        <w:tc>
          <w:tcPr>
            <w:tcW w:type="dxa" w:w="43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Email complaints@futuretrustbank.in for formal complaints. You will receive a response within 2 business hours.</w:t>
            </w:r>
          </w:p>
        </w:tc>
      </w:tr>
      <w:tr>
        <w:tc>
          <w:tcPr>
            <w:tcW w:type="dxa" w:w="9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General</w:t>
            </w:r>
          </w:p>
        </w:tc>
        <w:tc>
          <w:tcPr>
            <w:tcW w:type="dxa" w:w="11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Contact</w:t>
            </w:r>
          </w:p>
        </w:tc>
        <w:tc>
          <w:tcPr>
            <w:tcW w:type="dxa" w:w="29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What is FutureTrust Bank's WhatsApp banking number?</w:t>
            </w:r>
          </w:p>
        </w:tc>
        <w:tc>
          <w:tcPr>
            <w:tcW w:type="dxa" w:w="43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Send a message to +91-70100-38200 for WhatsApp banking. Automated service is available 24/7; human agents from 8 AM to 10 PM.</w:t>
            </w:r>
          </w:p>
        </w:tc>
      </w:tr>
      <w:tr>
        <w:tc>
          <w:tcPr>
            <w:tcW w:type="dxa" w:w="9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Accounts</w:t>
            </w:r>
          </w:p>
        </w:tc>
        <w:tc>
          <w:tcPr>
            <w:tcW w:type="dxa" w:w="11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Balance</w:t>
            </w:r>
          </w:p>
        </w:tc>
        <w:tc>
          <w:tcPr>
            <w:tcW w:type="dxa" w:w="29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How do I check my FutureTrust account balance?</w:t>
            </w:r>
          </w:p>
        </w:tc>
        <w:tc>
          <w:tcPr>
            <w:tcW w:type="dxa" w:w="43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Check balance via FuturePay App, NetBanking at futuretrustbank.in, missed call to 09000-FTB-BAL, ATM, or by calling 1800-FTB-CARE.</w:t>
            </w:r>
          </w:p>
        </w:tc>
      </w:tr>
      <w:tr>
        <w:tc>
          <w:tcPr>
            <w:tcW w:type="dxa" w:w="9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Accounts</w:t>
            </w:r>
          </w:p>
        </w:tc>
        <w:tc>
          <w:tcPr>
            <w:tcW w:type="dxa" w:w="11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Statements</w:t>
            </w:r>
          </w:p>
        </w:tc>
        <w:tc>
          <w:tcPr>
            <w:tcW w:type="dxa" w:w="29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How long does it take to get a physical bank statement?</w:t>
            </w:r>
          </w:p>
        </w:tc>
        <w:tc>
          <w:tcPr>
            <w:tcW w:type="dxa" w:w="43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Physical bank statements are dispatched within 5 working days and cost ₹100 per request.</w:t>
            </w:r>
          </w:p>
        </w:tc>
      </w:tr>
      <w:tr>
        <w:tc>
          <w:tcPr>
            <w:tcW w:type="dxa" w:w="9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Accounts</w:t>
            </w:r>
          </w:p>
        </w:tc>
        <w:tc>
          <w:tcPr>
            <w:tcW w:type="dxa" w:w="11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Statements</w:t>
            </w:r>
          </w:p>
        </w:tc>
        <w:tc>
          <w:tcPr>
            <w:tcW w:type="dxa" w:w="29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Is there a charge for email account statements at FutureTrust?</w:t>
            </w:r>
          </w:p>
        </w:tc>
        <w:tc>
          <w:tcPr>
            <w:tcW w:type="dxa" w:w="43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 email statements are free of charge and are sent within 30 minutes of the request to your registered email address.</w:t>
            </w:r>
          </w:p>
        </w:tc>
      </w:tr>
      <w:tr>
        <w:tc>
          <w:tcPr>
            <w:tcW w:type="dxa" w:w="9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Accounts</w:t>
            </w:r>
          </w:p>
        </w:tc>
        <w:tc>
          <w:tcPr>
            <w:tcW w:type="dxa" w:w="11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Cheque Book</w:t>
            </w:r>
          </w:p>
        </w:tc>
        <w:tc>
          <w:tcPr>
            <w:tcW w:type="dxa" w:w="29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How do I request a cheque book from FutureTrust Bank?</w:t>
            </w:r>
          </w:p>
        </w:tc>
        <w:tc>
          <w:tcPr>
            <w:tcW w:type="dxa" w:w="43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Request via NetBanking, FuturePay App, or by calling 1800-FTB-CARE. Standard delivery takes 7–10 working days; branch pickup in 3 days.</w:t>
            </w:r>
          </w:p>
        </w:tc>
      </w:tr>
      <w:tr>
        <w:tc>
          <w:tcPr>
            <w:tcW w:type="dxa" w:w="9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Accounts</w:t>
            </w:r>
          </w:p>
        </w:tc>
        <w:tc>
          <w:tcPr>
            <w:tcW w:type="dxa" w:w="11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Minimum Balance</w:t>
            </w:r>
          </w:p>
        </w:tc>
        <w:tc>
          <w:tcPr>
            <w:tcW w:type="dxa" w:w="29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What is the minimum balance for FutureTrust savings account?</w:t>
            </w:r>
          </w:p>
        </w:tc>
        <w:tc>
          <w:tcPr>
            <w:tcW w:type="dxa" w:w="43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The Basic SBDA account requires zero minimum balance. Premium accounts require ₹25,000 (urban), ₹15,000 (semi-urban), or ₹5,000 (rural) average monthly balance.</w:t>
            </w:r>
          </w:p>
        </w:tc>
      </w:tr>
      <w:tr>
        <w:tc>
          <w:tcPr>
            <w:tcW w:type="dxa" w:w="9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Accounts</w:t>
            </w:r>
          </w:p>
        </w:tc>
        <w:tc>
          <w:tcPr>
            <w:tcW w:type="dxa" w:w="11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Opening</w:t>
            </w:r>
          </w:p>
        </w:tc>
        <w:tc>
          <w:tcPr>
            <w:tcW w:type="dxa" w:w="29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What documents are needed to open a FutureTrust savings account?</w:t>
            </w:r>
          </w:p>
        </w:tc>
        <w:tc>
          <w:tcPr>
            <w:tcW w:type="dxa" w:w="43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You need one OVD (Aadhaar, Passport, etc.) for identity, one address proof, PAN card or Form 60, one passport-size photograph, and the initial deposit if applicable.</w:t>
            </w:r>
          </w:p>
        </w:tc>
      </w:tr>
      <w:tr>
        <w:tc>
          <w:tcPr>
            <w:tcW w:type="dxa" w:w="9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Accounts</w:t>
            </w:r>
          </w:p>
        </w:tc>
        <w:tc>
          <w:tcPr>
            <w:tcW w:type="dxa" w:w="11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Closure</w:t>
            </w:r>
          </w:p>
        </w:tc>
        <w:tc>
          <w:tcPr>
            <w:tcW w:type="dxa" w:w="29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How do I close my FutureTrust Bank account?</w:t>
            </w:r>
          </w:p>
        </w:tc>
        <w:tc>
          <w:tcPr>
            <w:tcW w:type="dxa" w:w="43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Submit a written closure request at your home branch, surrender your debit card and cheque book, clear dues, and provide alternate bank details. Closure completes within 7 working days.</w:t>
            </w:r>
          </w:p>
        </w:tc>
      </w:tr>
      <w:tr>
        <w:tc>
          <w:tcPr>
            <w:tcW w:type="dxa" w:w="9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Cards</w:t>
            </w:r>
          </w:p>
        </w:tc>
        <w:tc>
          <w:tcPr>
            <w:tcW w:type="dxa" w:w="11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Blocking</w:t>
            </w:r>
          </w:p>
        </w:tc>
        <w:tc>
          <w:tcPr>
            <w:tcW w:type="dxa" w:w="29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How do I block my FutureTrust debit card?</w:t>
            </w:r>
          </w:p>
        </w:tc>
        <w:tc>
          <w:tcPr>
            <w:tcW w:type="dxa" w:w="43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Call 1800-FTB-SAFE, use FuturePay App (Cards → Block Card), or log in to NetBanking. Your card is blocked within 60 seconds of authentication.</w:t>
            </w:r>
          </w:p>
        </w:tc>
      </w:tr>
      <w:tr>
        <w:tc>
          <w:tcPr>
            <w:tcW w:type="dxa" w:w="9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Cards</w:t>
            </w:r>
          </w:p>
        </w:tc>
        <w:tc>
          <w:tcPr>
            <w:tcW w:type="dxa" w:w="11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Replacement</w:t>
            </w:r>
          </w:p>
        </w:tc>
        <w:tc>
          <w:tcPr>
            <w:tcW w:type="dxa" w:w="29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How long does it take to get a replacement debit card?</w:t>
            </w:r>
          </w:p>
        </w:tc>
        <w:tc>
          <w:tcPr>
            <w:tcW w:type="dxa" w:w="43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Standard replacement takes 7–10 working days. Express delivery is available in 48 hours for a charge of ₹200.</w:t>
            </w:r>
          </w:p>
        </w:tc>
      </w:tr>
      <w:tr>
        <w:tc>
          <w:tcPr>
            <w:tcW w:type="dxa" w:w="9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Cards</w:t>
            </w:r>
          </w:p>
        </w:tc>
        <w:tc>
          <w:tcPr>
            <w:tcW w:type="dxa" w:w="11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PIN</w:t>
            </w:r>
          </w:p>
        </w:tc>
        <w:tc>
          <w:tcPr>
            <w:tcW w:type="dxa" w:w="29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How do I reset my FutureTrust debit card PIN?</w:t>
            </w:r>
          </w:p>
        </w:tc>
        <w:tc>
          <w:tcPr>
            <w:tcW w:type="dxa" w:w="43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Reset your PIN via the FuturePay App, NetBanking, or at any FutureTrust ATM. You can also call 1800-FTB-CARE for IVR-guided PIN reset.</w:t>
            </w:r>
          </w:p>
        </w:tc>
      </w:tr>
      <w:tr>
        <w:tc>
          <w:tcPr>
            <w:tcW w:type="dxa" w:w="9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Cards</w:t>
            </w:r>
          </w:p>
        </w:tc>
        <w:tc>
          <w:tcPr>
            <w:tcW w:type="dxa" w:w="11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Limits</w:t>
            </w:r>
          </w:p>
        </w:tc>
        <w:tc>
          <w:tcPr>
            <w:tcW w:type="dxa" w:w="29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Can I change my daily ATM withdrawal limit?</w:t>
            </w:r>
          </w:p>
        </w:tc>
        <w:tc>
          <w:tcPr>
            <w:tcW w:type="dxa" w:w="43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Yes. You can modify your daily withdrawal and POS limit via NetBanking under Card Settings, or by calling 1800-FTB-CARE.</w:t>
            </w:r>
          </w:p>
        </w:tc>
      </w:tr>
      <w:tr>
        <w:tc>
          <w:tcPr>
            <w:tcW w:type="dxa" w:w="9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Digital</w:t>
            </w:r>
          </w:p>
        </w:tc>
        <w:tc>
          <w:tcPr>
            <w:tcW w:type="dxa" w:w="11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Registration</w:t>
            </w:r>
          </w:p>
        </w:tc>
        <w:tc>
          <w:tcPr>
            <w:tcW w:type="dxa" w:w="29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How do I register for FutureTrust NetBanking?</w:t>
            </w:r>
          </w:p>
        </w:tc>
        <w:tc>
          <w:tcPr>
            <w:tcW w:type="dxa" w:w="43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Visit futuretrustbank.in, click 'Register for NetBanking,' enter your account number and registered mobile, verify via OTP, then set your login ID and password.</w:t>
            </w:r>
          </w:p>
        </w:tc>
      </w:tr>
      <w:tr>
        <w:tc>
          <w:tcPr>
            <w:tcW w:type="dxa" w:w="9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Digital</w:t>
            </w:r>
          </w:p>
        </w:tc>
        <w:tc>
          <w:tcPr>
            <w:tcW w:type="dxa" w:w="11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Password Reset</w:t>
            </w:r>
          </w:p>
        </w:tc>
        <w:tc>
          <w:tcPr>
            <w:tcW w:type="dxa" w:w="29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How do I reset my FutureTrust NetBanking password?</w:t>
            </w:r>
          </w:p>
        </w:tc>
        <w:tc>
          <w:tcPr>
            <w:tcW w:type="dxa" w:w="43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Click 'Forgot Password' on the NetBanking login page, verify via OTP on registered mobile, and set a new password. You can also reset via FuturePay App under Settings.</w:t>
            </w:r>
          </w:p>
        </w:tc>
      </w:tr>
      <w:tr>
        <w:tc>
          <w:tcPr>
            <w:tcW w:type="dxa" w:w="9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Digital</w:t>
            </w:r>
          </w:p>
        </w:tc>
        <w:tc>
          <w:tcPr>
            <w:tcW w:type="dxa" w:w="11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UPI</w:t>
            </w:r>
          </w:p>
        </w:tc>
        <w:tc>
          <w:tcPr>
            <w:tcW w:type="dxa" w:w="29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How do I register for UPI with FutureTrust Bank?</w:t>
            </w:r>
          </w:p>
        </w:tc>
        <w:tc>
          <w:tcPr>
            <w:tcW w:type="dxa" w:w="43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Open the FuturePay App, go to UPI section, register your UPI ID by linking your FutureTrust account and setting your UPI PIN using your debit card details.</w:t>
            </w:r>
          </w:p>
        </w:tc>
      </w:tr>
      <w:tr>
        <w:tc>
          <w:tcPr>
            <w:tcW w:type="dxa" w:w="9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Digital</w:t>
            </w:r>
          </w:p>
        </w:tc>
        <w:tc>
          <w:tcPr>
            <w:tcW w:type="dxa" w:w="11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NEFT</w:t>
            </w:r>
          </w:p>
        </w:tc>
        <w:tc>
          <w:tcPr>
            <w:tcW w:type="dxa" w:w="29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Are NEFT transfers free at FutureTrust Bank?</w:t>
            </w:r>
          </w:p>
        </w:tc>
        <w:tc>
          <w:tcPr>
            <w:tcW w:type="dxa" w:w="43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Yes, online NEFT transfers are free for all FutureTrust customers. Branch-initiated NEFT may attract charges of ₹2 to ₹25 depending on the transfer amount.</w:t>
            </w:r>
          </w:p>
        </w:tc>
      </w:tr>
      <w:tr>
        <w:tc>
          <w:tcPr>
            <w:tcW w:type="dxa" w:w="9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Transactions</w:t>
            </w:r>
          </w:p>
        </w:tc>
        <w:tc>
          <w:tcPr>
            <w:tcW w:type="dxa" w:w="11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Dispute</w:t>
            </w:r>
          </w:p>
        </w:tc>
        <w:tc>
          <w:tcPr>
            <w:tcW w:type="dxa" w:w="29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How long does it take to resolve a disputed transaction?</w:t>
            </w:r>
          </w:p>
        </w:tc>
        <w:tc>
          <w:tcPr>
            <w:tcW w:type="dxa" w:w="43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Domestic disputes are resolved within 7 business days. International disputes may take up to 45 days. A provisional credit may be issued within 24 hours for clear erroneous domestic transactions under ₹10,000.</w:t>
            </w:r>
          </w:p>
        </w:tc>
      </w:tr>
      <w:tr>
        <w:tc>
          <w:tcPr>
            <w:tcW w:type="dxa" w:w="9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Transactions</w:t>
            </w:r>
          </w:p>
        </w:tc>
        <w:tc>
          <w:tcPr>
            <w:tcW w:type="dxa" w:w="11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RTGS</w:t>
            </w:r>
          </w:p>
        </w:tc>
        <w:tc>
          <w:tcPr>
            <w:tcW w:type="dxa" w:w="29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My RTGS transfer shows deducted but not credited. What should I do?</w:t>
            </w:r>
          </w:p>
        </w:tc>
        <w:tc>
          <w:tcPr>
            <w:tcW w:type="dxa" w:w="43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Call 1800-FTB-CARE with your UTR number. The CSR will check CBS. If returned, the amount is re-credited within 2 hours. If pending at beneficiary bank, the UTR is shared for resolution there.</w:t>
            </w:r>
          </w:p>
        </w:tc>
      </w:tr>
      <w:tr>
        <w:tc>
          <w:tcPr>
            <w:tcW w:type="dxa" w:w="9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KYC</w:t>
            </w:r>
          </w:p>
        </w:tc>
        <w:tc>
          <w:tcPr>
            <w:tcW w:type="dxa" w:w="11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Update</w:t>
            </w:r>
          </w:p>
        </w:tc>
        <w:tc>
          <w:tcPr>
            <w:tcW w:type="dxa" w:w="29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How do I update my KYC at FutureTrust Bank without visiting a branch?</w:t>
            </w:r>
          </w:p>
        </w:tc>
        <w:tc>
          <w:tcPr>
            <w:tcW w:type="dxa" w:w="43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You can complete Video KYC via the FuturePay App under Profile &gt; Update KYC. The process takes about 10 minutes and your account is unfrozen within 4 hours of successful verification.</w:t>
            </w:r>
          </w:p>
        </w:tc>
      </w:tr>
      <w:tr>
        <w:tc>
          <w:tcPr>
            <w:tcW w:type="dxa" w:w="9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KYC</w:t>
            </w:r>
          </w:p>
        </w:tc>
        <w:tc>
          <w:tcPr>
            <w:tcW w:type="dxa" w:w="11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Freeze</w:t>
            </w:r>
          </w:p>
        </w:tc>
        <w:tc>
          <w:tcPr>
            <w:tcW w:type="dxa" w:w="29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My FutureTrust account is frozen due to KYC. What should I do?</w:t>
            </w:r>
          </w:p>
        </w:tc>
        <w:tc>
          <w:tcPr>
            <w:tcW w:type="dxa" w:w="43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Visit your nearest branch with original OVDs, or complete Video KYC on the FuturePay App. Account freeze is lifted within 1 working hour of successful branch submission or 4 hours for online KYC.</w:t>
            </w:r>
          </w:p>
        </w:tc>
      </w:tr>
      <w:tr>
        <w:tc>
          <w:tcPr>
            <w:tcW w:type="dxa" w:w="9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Loans</w:t>
            </w:r>
          </w:p>
        </w:tc>
        <w:tc>
          <w:tcPr>
            <w:tcW w:type="dxa" w:w="11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Eligibility</w:t>
            </w:r>
          </w:p>
        </w:tc>
        <w:tc>
          <w:tcPr>
            <w:tcW w:type="dxa" w:w="29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What is the minimum credit score for a FutureTrust personal loan?</w:t>
            </w:r>
          </w:p>
        </w:tc>
        <w:tc>
          <w:tcPr>
            <w:tcW w:type="dxa" w:w="43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You need a minimum CIBIL score of 700 to be eligible for a FutureTrust personal loan. Loans range from ₹50,000 to ₹25 lakhs.</w:t>
            </w:r>
          </w:p>
        </w:tc>
      </w:tr>
      <w:tr>
        <w:tc>
          <w:tcPr>
            <w:tcW w:type="dxa" w:w="9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Loans</w:t>
            </w:r>
          </w:p>
        </w:tc>
        <w:tc>
          <w:tcPr>
            <w:tcW w:type="dxa" w:w="11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Documents</w:t>
            </w:r>
          </w:p>
        </w:tc>
        <w:tc>
          <w:tcPr>
            <w:tcW w:type="dxa" w:w="29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What documents are required for a salaried personal loan applicant?</w:t>
            </w:r>
          </w:p>
        </w:tc>
        <w:tc>
          <w:tcPr>
            <w:tcW w:type="dxa" w:w="43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Last 3 months' salary slips, last 6 months' bank statements, Form 16 / ITR for last 2 years, employment identity proof, and KYC identity and address proof.</w:t>
            </w:r>
          </w:p>
        </w:tc>
      </w:tr>
      <w:tr>
        <w:tc>
          <w:tcPr>
            <w:tcW w:type="dxa" w:w="9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Loans</w:t>
            </w:r>
          </w:p>
        </w:tc>
        <w:tc>
          <w:tcPr>
            <w:tcW w:type="dxa" w:w="11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Foreclosure</w:t>
            </w:r>
          </w:p>
        </w:tc>
        <w:tc>
          <w:tcPr>
            <w:tcW w:type="dxa" w:w="29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What is the foreclosure charge for a FutureTrust personal loan?</w:t>
            </w:r>
          </w:p>
        </w:tc>
        <w:tc>
          <w:tcPr>
            <w:tcW w:type="dxa" w:w="43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Foreclosure charges are 3% of the outstanding principal. The exact amount includes principal outstanding plus interest till date plus the foreclosure charge.</w:t>
            </w:r>
          </w:p>
        </w:tc>
      </w:tr>
      <w:tr>
        <w:tc>
          <w:tcPr>
            <w:tcW w:type="dxa" w:w="9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Loans</w:t>
            </w:r>
          </w:p>
        </w:tc>
        <w:tc>
          <w:tcPr>
            <w:tcW w:type="dxa" w:w="11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NOC</w:t>
            </w:r>
          </w:p>
        </w:tc>
        <w:tc>
          <w:tcPr>
            <w:tcW w:type="dxa" w:w="29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How long does it take to get a loan NOC after full payment?</w:t>
            </w:r>
          </w:p>
        </w:tc>
        <w:tc>
          <w:tcPr>
            <w:tcW w:type="dxa" w:w="43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FutureTrust dispatches the No Objection Certificate (NOC) within 15 working days of receiving the final payment for your loan account.</w:t>
            </w:r>
          </w:p>
        </w:tc>
      </w:tr>
      <w:tr>
        <w:tc>
          <w:tcPr>
            <w:tcW w:type="dxa" w:w="9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FD</w:t>
            </w:r>
          </w:p>
        </w:tc>
        <w:tc>
          <w:tcPr>
            <w:tcW w:type="dxa" w:w="11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Opening</w:t>
            </w:r>
          </w:p>
        </w:tc>
        <w:tc>
          <w:tcPr>
            <w:tcW w:type="dxa" w:w="29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What is the minimum amount for a Fixed Deposit at FutureTrust Bank?</w:t>
            </w:r>
          </w:p>
        </w:tc>
        <w:tc>
          <w:tcPr>
            <w:tcW w:type="dxa" w:w="43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The minimum Fixed Deposit amount at FutureTrust Bank is ₹5,000. Tenure options range from 7 days to 10 years.</w:t>
            </w:r>
          </w:p>
        </w:tc>
      </w:tr>
      <w:tr>
        <w:tc>
          <w:tcPr>
            <w:tcW w:type="dxa" w:w="9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FD</w:t>
            </w:r>
          </w:p>
        </w:tc>
        <w:tc>
          <w:tcPr>
            <w:tcW w:type="dxa" w:w="11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TDS</w:t>
            </w:r>
          </w:p>
        </w:tc>
        <w:tc>
          <w:tcPr>
            <w:tcW w:type="dxa" w:w="29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When is TDS deducted on FutureTrust Fixed Deposit interest?</w:t>
            </w:r>
          </w:p>
        </w:tc>
        <w:tc>
          <w:tcPr>
            <w:tcW w:type="dxa" w:w="43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TDS is deducted if annual FD interest exceeds ₹40,000 for regular customers and ₹50,000 for senior citizens. Submit Form 15G/15H to avoid TDS if you are below the taxable income threshold.</w:t>
            </w:r>
          </w:p>
        </w:tc>
      </w:tr>
      <w:tr>
        <w:tc>
          <w:tcPr>
            <w:tcW w:type="dxa" w:w="9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FD</w:t>
            </w:r>
          </w:p>
        </w:tc>
        <w:tc>
          <w:tcPr>
            <w:tcW w:type="dxa" w:w="11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Premature</w:t>
            </w:r>
          </w:p>
        </w:tc>
        <w:tc>
          <w:tcPr>
            <w:tcW w:type="dxa" w:w="29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Can I break my FD before maturity at FutureTrust?</w:t>
            </w:r>
          </w:p>
        </w:tc>
        <w:tc>
          <w:tcPr>
            <w:tcW w:type="dxa" w:w="43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Yes, premature FD closure is allowed. A penalty is applicable – typically 0.5% to 1% reduction from the applicable rate for the period the deposit was held. Contact 1800-FTB-CARE for exact penalty computation.</w:t>
            </w:r>
          </w:p>
        </w:tc>
      </w:tr>
      <w:tr>
        <w:tc>
          <w:tcPr>
            <w:tcW w:type="dxa" w:w="9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Complaints</w:t>
            </w:r>
          </w:p>
        </w:tc>
        <w:tc>
          <w:tcPr>
            <w:tcW w:type="dxa" w:w="11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Process</w:t>
            </w:r>
          </w:p>
        </w:tc>
        <w:tc>
          <w:tcPr>
            <w:tcW w:type="dxa" w:w="29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How do I file a complaint with FutureTrust Bank?</w:t>
            </w:r>
          </w:p>
        </w:tc>
        <w:tc>
          <w:tcPr>
            <w:tcW w:type="dxa" w:w="43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Call 1800-FTB-CARE, email complaints@futuretrustbank.in, use the complaint section in the FuturePay App, or visit your branch. You will receive a complaint reference number and acknowledgment within 24 hours.</w:t>
            </w:r>
          </w:p>
        </w:tc>
      </w:tr>
      <w:tr>
        <w:tc>
          <w:tcPr>
            <w:tcW w:type="dxa" w:w="9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Complaints</w:t>
            </w:r>
          </w:p>
        </w:tc>
        <w:tc>
          <w:tcPr>
            <w:tcW w:type="dxa" w:w="11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SLA</w:t>
            </w:r>
          </w:p>
        </w:tc>
        <w:tc>
          <w:tcPr>
            <w:tcW w:type="dxa" w:w="29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What is FutureTrust's SLA for resolving complaints?</w:t>
            </w:r>
          </w:p>
        </w:tc>
        <w:tc>
          <w:tcPr>
            <w:tcW w:type="dxa" w:w="43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Level 1 complaints are resolved within 5 business days. Level 2 within 15 business days. Unresolved cases after 30 days can be escalated to the RBI Banking Ombudsman.</w:t>
            </w:r>
          </w:p>
        </w:tc>
      </w:tr>
      <w:tr>
        <w:tc>
          <w:tcPr>
            <w:tcW w:type="dxa" w:w="9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Complaints</w:t>
            </w:r>
          </w:p>
        </w:tc>
        <w:tc>
          <w:tcPr>
            <w:tcW w:type="dxa" w:w="11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Ombudsman</w:t>
            </w:r>
          </w:p>
        </w:tc>
        <w:tc>
          <w:tcPr>
            <w:tcW w:type="dxa" w:w="29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When can I approach the Banking Ombudsman for FutureTrust?</w:t>
            </w:r>
          </w:p>
        </w:tc>
        <w:tc>
          <w:tcPr>
            <w:tcW w:type="dxa" w:w="43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If your complaint is not resolved within 30 days, or you are unsatisfied with the resolution, you can file a complaint with the RBI Banking Ombudsman at https://bankingombudsman.rbi.org.in.</w:t>
            </w:r>
          </w:p>
        </w:tc>
      </w:tr>
      <w:tr>
        <w:tc>
          <w:tcPr>
            <w:tcW w:type="dxa" w:w="9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NRI</w:t>
            </w:r>
          </w:p>
        </w:tc>
        <w:tc>
          <w:tcPr>
            <w:tcW w:type="dxa" w:w="11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Account Types</w:t>
            </w:r>
          </w:p>
        </w:tc>
        <w:tc>
          <w:tcPr>
            <w:tcW w:type="dxa" w:w="29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What types of NRI accounts does FutureTrust Bank offer?</w:t>
            </w:r>
          </w:p>
        </w:tc>
        <w:tc>
          <w:tcPr>
            <w:tcW w:type="dxa" w:w="43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FutureTrust offers NRE (Non-Resident External), NRO (Non-Resident Ordinary), and FCNR (Foreign Currency Non-Resident) accounts for NRI customers.</w:t>
            </w:r>
          </w:p>
        </w:tc>
      </w:tr>
      <w:tr>
        <w:tc>
          <w:tcPr>
            <w:tcW w:type="dxa" w:w="9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NRI</w:t>
            </w:r>
          </w:p>
        </w:tc>
        <w:tc>
          <w:tcPr>
            <w:tcW w:type="dxa" w:w="11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Documents</w:t>
            </w:r>
          </w:p>
        </w:tc>
        <w:tc>
          <w:tcPr>
            <w:tcW w:type="dxa" w:w="29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What documents do I need to open an NRI account at FutureTrust?</w:t>
            </w:r>
          </w:p>
        </w:tc>
        <w:tc>
          <w:tcPr>
            <w:tcW w:type="dxa" w:w="43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Valid Indian passport, foreign address proof (overseas utility bill or bank statement), overseas employment proof or visa copy, FEMA declaration form, and completed NRI Account Opening Form.</w:t>
            </w:r>
          </w:p>
        </w:tc>
      </w:tr>
      <w:tr>
        <w:tc>
          <w:tcPr>
            <w:tcW w:type="dxa" w:w="9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NRI</w:t>
            </w:r>
          </w:p>
        </w:tc>
        <w:tc>
          <w:tcPr>
            <w:tcW w:type="dxa" w:w="11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NRE vs NRO</w:t>
            </w:r>
          </w:p>
        </w:tc>
        <w:tc>
          <w:tcPr>
            <w:tcW w:type="dxa" w:w="29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What is the difference between NRE and NRO accounts?</w:t>
            </w:r>
          </w:p>
        </w:tc>
        <w:tc>
          <w:tcPr>
            <w:tcW w:type="dxa" w:w="43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NRE accounts hold foreign income and are fully repatriable with tax-free interest in India. NRO accounts hold Indian-sourced income and are partially repatriable (up to $1 million/year). Both accept rupee deposits.</w:t>
            </w:r>
          </w:p>
        </w:tc>
      </w:tr>
      <w:tr>
        <w:tc>
          <w:tcPr>
            <w:tcW w:type="dxa" w:w="9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Security</w:t>
            </w:r>
          </w:p>
        </w:tc>
        <w:tc>
          <w:tcPr>
            <w:tcW w:type="dxa" w:w="11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Fraud</w:t>
            </w:r>
          </w:p>
        </w:tc>
        <w:tc>
          <w:tcPr>
            <w:tcW w:type="dxa" w:w="29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What should I do if I receive a suspicious call from someone claiming to be FutureTrust Bank?</w:t>
            </w:r>
          </w:p>
        </w:tc>
        <w:tc>
          <w:tcPr>
            <w:tcW w:type="dxa" w:w="43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Do not share any OTP, PIN, password, or card details. FutureTrust never asks for these. Hang up and call 1800-FTB-SAFE immediately to report the incident. Change your PIN as a precaution.</w:t>
            </w:r>
          </w:p>
        </w:tc>
      </w:tr>
      <w:tr>
        <w:tc>
          <w:tcPr>
            <w:tcW w:type="dxa" w:w="9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Security</w:t>
            </w:r>
          </w:p>
        </w:tc>
        <w:tc>
          <w:tcPr>
            <w:tcW w:type="dxa" w:w="11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SIM Swap</w:t>
            </w:r>
          </w:p>
        </w:tc>
        <w:tc>
          <w:tcPr>
            <w:tcW w:type="dxa" w:w="29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What is a SIM swap fraud and how does FutureTrust protect me?</w:t>
            </w:r>
          </w:p>
        </w:tc>
        <w:tc>
          <w:tcPr>
            <w:tcW w:type="dxa" w:w="43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SIM swap fraud occurs when fraudsters get a duplicate SIM of your number. FutureTrust monitors unusual OTP activity. If you suddenly stop receiving SMS, call 1800-FTB-SAFE immediately to freeze your account.</w:t>
            </w:r>
          </w:p>
        </w:tc>
      </w:tr>
      <w:tr>
        <w:tc>
          <w:tcPr>
            <w:tcW w:type="dxa" w:w="9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Priority Banking</w:t>
            </w:r>
          </w:p>
        </w:tc>
        <w:tc>
          <w:tcPr>
            <w:tcW w:type="dxa" w:w="11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Eligibility</w:t>
            </w:r>
          </w:p>
        </w:tc>
        <w:tc>
          <w:tcPr>
            <w:tcW w:type="dxa" w:w="29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What is the minimum balance for FutureTrust Priority Banking?</w:t>
            </w:r>
          </w:p>
        </w:tc>
        <w:tc>
          <w:tcPr>
            <w:tcW w:type="dxa" w:w="43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 minimum Net Relationship Value (NRV) of ₹10 lakhs across all FutureTrust accounts qualifies you for Priority Banking (Prestige Club). A dedicated Relationship Manager is assigned within 3 business days.</w:t>
            </w:r>
          </w:p>
        </w:tc>
      </w:tr>
      <w:tr>
        <w:tc>
          <w:tcPr>
            <w:tcW w:type="dxa" w:w="9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Priority Banking</w:t>
            </w:r>
          </w:p>
        </w:tc>
        <w:tc>
          <w:tcPr>
            <w:tcW w:type="dxa" w:w="11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Benefits</w:t>
            </w:r>
          </w:p>
        </w:tc>
        <w:tc>
          <w:tcPr>
            <w:tcW w:type="dxa" w:w="29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What are the benefits of FutureTrust Priority Banking?</w:t>
            </w:r>
          </w:p>
        </w:tc>
        <w:tc>
          <w:tcPr>
            <w:tcW w:type="dxa" w:w="43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Benefits include unlimited free RTGS/NEFT, complimentary premium credit card, airport lounge access, insurance cover, dedicated relationship manager, priority customer service, and higher transaction limits.</w:t>
            </w:r>
          </w:p>
        </w:tc>
      </w:tr>
      <w:tr>
        <w:tc>
          <w:tcPr>
            <w:tcW w:type="dxa" w:w="9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Advanced</w:t>
            </w:r>
          </w:p>
        </w:tc>
        <w:tc>
          <w:tcPr>
            <w:tcW w:type="dxa" w:w="11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Fraud Recovery</w:t>
            </w:r>
          </w:p>
        </w:tc>
        <w:tc>
          <w:tcPr>
            <w:tcW w:type="dxa" w:w="29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 lost ₹1 lakh to a phishing scam. Will FutureTrust refund my money?</w:t>
            </w:r>
          </w:p>
        </w:tc>
        <w:tc>
          <w:tcPr>
            <w:tcW w:type="dxa" w:w="43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Report immediately to 1800-FTB-SAFE. File an FIR at your local police station. FutureTrust will investigate within 3 business days. If the bank's systems were compromised, full refund is applicable. For customer-initiated fraud (sharing OTP), liability is shared per RBI circular on limited liability of customers.</w:t>
            </w:r>
          </w:p>
        </w:tc>
      </w:tr>
      <w:tr>
        <w:tc>
          <w:tcPr>
            <w:tcW w:type="dxa" w:w="9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Advanced</w:t>
            </w:r>
          </w:p>
        </w:tc>
        <w:tc>
          <w:tcPr>
            <w:tcW w:type="dxa" w:w="11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Deceased Account</w:t>
            </w:r>
          </w:p>
        </w:tc>
        <w:tc>
          <w:tcPr>
            <w:tcW w:type="dxa" w:w="29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How does a family member claim a deceased FutureTrust account holder's balance?</w:t>
            </w:r>
          </w:p>
        </w:tc>
        <w:tc>
          <w:tcPr>
            <w:tcW w:type="dxa" w:w="43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If a nominee exists, they must visit the branch with death certificate and Form CL-1. For joint accounts with survivor clause, the survivor needs the death certificate and identity proof. For single holder accounts without nominee, a succession certificate or legal heir certificate is required. Contact 1800-FTB-CARE for case-specific guidance.</w:t>
            </w:r>
          </w:p>
        </w:tc>
      </w:tr>
      <w:tr>
        <w:tc>
          <w:tcPr>
            <w:tcW w:type="dxa" w:w="9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Advanced</w:t>
            </w:r>
          </w:p>
        </w:tc>
        <w:tc>
          <w:tcPr>
            <w:tcW w:type="dxa" w:w="11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Bulk Payroll Failure</w:t>
            </w:r>
          </w:p>
        </w:tc>
        <w:tc>
          <w:tcPr>
            <w:tcW w:type="dxa" w:w="29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My company's payroll NEFT batch failed. What should I do?</w:t>
            </w:r>
          </w:p>
        </w:tc>
        <w:tc>
          <w:tcPr>
            <w:tcW w:type="dxa" w:w="43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Call 1800-FTB-CARE with your batch UTR number. If the batch was returned, identify the reason (wrong IFSC, closed accounts) and resubmit with corrections. If funds are deducted but uncredited, our Operations team will trace via NPCI UTR trace within 2 business hours.</w:t>
            </w:r>
          </w:p>
        </w:tc>
      </w:tr>
      <w:tr>
        <w:tc>
          <w:tcPr>
            <w:tcW w:type="dxa" w:w="9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Advanced</w:t>
            </w:r>
          </w:p>
        </w:tc>
        <w:tc>
          <w:tcPr>
            <w:tcW w:type="dxa" w:w="11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POA Operation</w:t>
            </w:r>
          </w:p>
        </w:tc>
        <w:tc>
          <w:tcPr>
            <w:tcW w:type="dxa" w:w="29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Can someone with Power of Attorney operate my FutureTrust account?</w:t>
            </w:r>
          </w:p>
        </w:tc>
        <w:tc>
          <w:tcPr>
            <w:tcW w:type="dxa" w:w="43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Yes, if the POA is notarized/registered and registered with FutureTrust Bank. The POA holder must visit the branch with the original POA document and their own identity proof. Operations are limited to those specified in the POA deed.</w:t>
            </w:r>
          </w:p>
        </w:tc>
      </w:tr>
      <w:tr>
        <w:tc>
          <w:tcPr>
            <w:tcW w:type="dxa" w:w="9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Advanced</w:t>
            </w:r>
          </w:p>
        </w:tc>
        <w:tc>
          <w:tcPr>
            <w:tcW w:type="dxa" w:w="11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Account Freeze – Regulatory</w:t>
            </w:r>
          </w:p>
        </w:tc>
        <w:tc>
          <w:tcPr>
            <w:tcW w:type="dxa" w:w="29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My FutureTrust account is frozen and no one will tell me why. What can I do?</w:t>
            </w:r>
          </w:p>
        </w:tc>
        <w:tc>
          <w:tcPr>
            <w:tcW w:type="dxa" w:w="43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Some account freezes are imposed by regulatory/government orders (ED, IT Department, PMLA), and the bank legally cannot disclose the reason. Visit your nearest branch with full identity proof. You may need to consult a legal advisor and respond to the issuing authority directly. The bank can only unfreeze upon receiving a valid order from the same authority.</w:t>
            </w:r>
          </w:p>
        </w:tc>
      </w:tr>
      <w:tr>
        <w:tc>
          <w:tcPr>
            <w:tcW w:type="dxa" w:w="9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Advanced</w:t>
            </w:r>
          </w:p>
        </w:tc>
        <w:tc>
          <w:tcPr>
            <w:tcW w:type="dxa" w:w="11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Minor Account Transition</w:t>
            </w:r>
          </w:p>
        </w:tc>
        <w:tc>
          <w:tcPr>
            <w:tcW w:type="dxa" w:w="29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My FutureTrust minor account just turned 18. Why can't I access it?</w:t>
            </w:r>
          </w:p>
        </w:tc>
        <w:tc>
          <w:tcPr>
            <w:tcW w:type="dxa" w:w="43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Minor accounts are automatically restricted at age 18 for security compliance. Visit your home branch, sign fresh KYC forms, and request conversion to a regular savings account using Form MJ-1. This process takes 3 working days. Emergency access to funds may be available via the branch manager.</w:t>
            </w:r>
          </w:p>
        </w:tc>
      </w:tr>
      <w:tr>
        <w:tc>
          <w:tcPr>
            <w:tcW w:type="dxa" w:w="9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Advanced</w:t>
            </w:r>
          </w:p>
        </w:tc>
        <w:tc>
          <w:tcPr>
            <w:tcW w:type="dxa" w:w="11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International Dispute</w:t>
            </w:r>
          </w:p>
        </w:tc>
        <w:tc>
          <w:tcPr>
            <w:tcW w:type="dxa" w:w="29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 was charged twice for a hotel booking in Dubai using my FutureTrust debit card. How long will the refund take?</w:t>
            </w:r>
          </w:p>
        </w:tc>
        <w:tc>
          <w:tcPr>
            <w:tcW w:type="dxa" w:w="43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File an international transaction dispute via 1800-FTB-CARE with your transaction details. International dispute resolution follows Visa/Mastercard chargeback timelines, which may take up to 45 days. A dispute reference number will be provided. Monitor via NetBanking under 'Dispute Tracker'.</w:t>
            </w:r>
          </w:p>
        </w:tc>
      </w:tr>
      <w:tr>
        <w:tc>
          <w:tcPr>
            <w:tcW w:type="dxa" w:w="9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Advanced</w:t>
            </w:r>
          </w:p>
        </w:tc>
        <w:tc>
          <w:tcPr>
            <w:tcW w:type="dxa" w:w="11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Loan Restructuring</w:t>
            </w:r>
          </w:p>
        </w:tc>
        <w:tc>
          <w:tcPr>
            <w:tcW w:type="dxa" w:w="29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 lost my job and cannot pay my FutureTrust EMI. What are my options?</w:t>
            </w:r>
          </w:p>
        </w:tc>
        <w:tc>
          <w:tcPr>
            <w:tcW w:type="dxa" w:w="43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Contact FutureTrust immediately. Options include: EMI moratorium (temporary pause, as per RBI guidelines), loan restructuring (extending tenure to reduce EMI), or partial payment arrangements. Early communication improves outcomes. Call 1800-FTB-CARE and ask for the Loan Restructuring Desk.</w:t>
            </w:r>
          </w:p>
        </w:tc>
      </w:tr>
      <w:tr>
        <w:tc>
          <w:tcPr>
            <w:tcW w:type="dxa" w:w="9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General</w:t>
            </w:r>
          </w:p>
        </w:tc>
        <w:tc>
          <w:tcPr>
            <w:tcW w:type="dxa" w:w="11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Hours</w:t>
            </w:r>
          </w:p>
        </w:tc>
        <w:tc>
          <w:tcPr>
            <w:tcW w:type="dxa" w:w="29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Is FutureTrust Bank available on holidays?</w:t>
            </w:r>
          </w:p>
        </w:tc>
        <w:tc>
          <w:tcPr>
            <w:tcW w:type="dxa" w:w="43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Yes, FutureTrust Bank's phone banking helpline is available 24/7, including all public holidays. Some branch-based services may not be available on national holidays.</w:t>
            </w:r>
          </w:p>
        </w:tc>
      </w:tr>
      <w:tr>
        <w:tc>
          <w:tcPr>
            <w:tcW w:type="dxa" w:w="9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General</w:t>
            </w:r>
          </w:p>
        </w:tc>
        <w:tc>
          <w:tcPr>
            <w:tcW w:type="dxa" w:w="11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Hours</w:t>
            </w:r>
          </w:p>
        </w:tc>
        <w:tc>
          <w:tcPr>
            <w:tcW w:type="dxa" w:w="29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Can I call FutureTrust Bank at midnight?</w:t>
            </w:r>
          </w:p>
        </w:tc>
        <w:tc>
          <w:tcPr>
            <w:tcW w:type="dxa" w:w="43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Yes. The customer care helpline at 1800-FTB-CARE operates around the clock, 24 hours a day, 7 days a week, including midnight and early morning hours.</w:t>
            </w:r>
          </w:p>
        </w:tc>
      </w:tr>
      <w:tr>
        <w:tc>
          <w:tcPr>
            <w:tcW w:type="dxa" w:w="9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Accounts</w:t>
            </w:r>
          </w:p>
        </w:tc>
        <w:tc>
          <w:tcPr>
            <w:tcW w:type="dxa" w:w="11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Balance</w:t>
            </w:r>
          </w:p>
        </w:tc>
        <w:tc>
          <w:tcPr>
            <w:tcW w:type="dxa" w:w="29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How can I know my FutureTrust bank balance without visiting a branch?</w:t>
            </w:r>
          </w:p>
        </w:tc>
        <w:tc>
          <w:tcPr>
            <w:tcW w:type="dxa" w:w="43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You can check your balance via the FuturePay App, NetBanking, missed call service, WhatsApp Banking, ATM, or by calling 1800-FTB-CARE.</w:t>
            </w:r>
          </w:p>
        </w:tc>
      </w:tr>
      <w:tr>
        <w:tc>
          <w:tcPr>
            <w:tcW w:type="dxa" w:w="9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Accounts</w:t>
            </w:r>
          </w:p>
        </w:tc>
        <w:tc>
          <w:tcPr>
            <w:tcW w:type="dxa" w:w="11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Balance</w:t>
            </w:r>
          </w:p>
        </w:tc>
        <w:tc>
          <w:tcPr>
            <w:tcW w:type="dxa" w:w="29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What is the missed call number to check FutureTrust account balance?</w:t>
            </w:r>
          </w:p>
        </w:tc>
        <w:tc>
          <w:tcPr>
            <w:tcW w:type="dxa" w:w="43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Give a missed call to 09000-FTB-BAL from your registered mobile number to receive your account balance via SMS instantly, free of charge.</w:t>
            </w:r>
          </w:p>
        </w:tc>
      </w:tr>
      <w:tr>
        <w:tc>
          <w:tcPr>
            <w:tcW w:type="dxa" w:w="9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Cards</w:t>
            </w:r>
          </w:p>
        </w:tc>
        <w:tc>
          <w:tcPr>
            <w:tcW w:type="dxa" w:w="11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Blocking</w:t>
            </w:r>
          </w:p>
        </w:tc>
        <w:tc>
          <w:tcPr>
            <w:tcW w:type="dxa" w:w="29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 think my card is stolen. How do I immediately stop it?</w:t>
            </w:r>
          </w:p>
        </w:tc>
        <w:tc>
          <w:tcPr>
            <w:tcW w:type="dxa" w:w="43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Call 1800-FTB-SAFE immediately, or block it via the FuturePay App (Cards → Block Card) or NetBanking. Blocking happens within 60 seconds of identity verification.</w:t>
            </w:r>
          </w:p>
        </w:tc>
      </w:tr>
      <w:tr>
        <w:tc>
          <w:tcPr>
            <w:tcW w:type="dxa" w:w="9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Cards</w:t>
            </w:r>
          </w:p>
        </w:tc>
        <w:tc>
          <w:tcPr>
            <w:tcW w:type="dxa" w:w="11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Blocking</w:t>
            </w:r>
          </w:p>
        </w:tc>
        <w:tc>
          <w:tcPr>
            <w:tcW w:type="dxa" w:w="29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What is the fastest way to block my FutureTrust debit card?</w:t>
            </w:r>
          </w:p>
        </w:tc>
        <w:tc>
          <w:tcPr>
            <w:tcW w:type="dxa" w:w="43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The fastest method is via the FuturePay Mobile App under Cards &gt; Emergency Block, which works even without calling customer care and completes instantly.</w:t>
            </w:r>
          </w:p>
        </w:tc>
      </w:tr>
      <w:tr>
        <w:tc>
          <w:tcPr>
            <w:tcW w:type="dxa" w:w="9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Transactions</w:t>
            </w:r>
          </w:p>
        </w:tc>
        <w:tc>
          <w:tcPr>
            <w:tcW w:type="dxa" w:w="11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Dispute</w:t>
            </w:r>
          </w:p>
        </w:tc>
        <w:tc>
          <w:tcPr>
            <w:tcW w:type="dxa" w:w="29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 see an unknown charge on my FutureTrust account. How do I report it?</w:t>
            </w:r>
          </w:p>
        </w:tc>
        <w:tc>
          <w:tcPr>
            <w:tcW w:type="dxa" w:w="43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Call 1800-FTB-CARE or 1800-FTB-SAFE, provide the transaction details, and a dispute will be raised immediately. You will receive a Dispute Reference Number. Resolution is within 7 business days for domestic transactions.</w:t>
            </w:r>
          </w:p>
        </w:tc>
      </w:tr>
      <w:tr>
        <w:tc>
          <w:tcPr>
            <w:tcW w:type="dxa" w:w="9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Transactions</w:t>
            </w:r>
          </w:p>
        </w:tc>
        <w:tc>
          <w:tcPr>
            <w:tcW w:type="dxa" w:w="11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Dispute</w:t>
            </w:r>
          </w:p>
        </w:tc>
        <w:tc>
          <w:tcPr>
            <w:tcW w:type="dxa" w:w="29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How do I report an unauthorized debit from my FutureTrust account?</w:t>
            </w:r>
          </w:p>
        </w:tc>
        <w:tc>
          <w:tcPr>
            <w:tcW w:type="dxa" w:w="43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Contact FutureTrust immediately at 1800-FTB-SAFE. Report the unauthorized transaction, authenticate your identity, and we will block your card, freeze the account if needed, and raise a Fraud Investigation Team case.</w:t>
            </w:r>
          </w:p>
        </w:tc>
      </w:tr>
      <w:tr>
        <w:tc>
          <w:tcPr>
            <w:tcW w:type="dxa" w:w="9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KYC</w:t>
            </w:r>
          </w:p>
        </w:tc>
        <w:tc>
          <w:tcPr>
            <w:tcW w:type="dxa" w:w="11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Documents</w:t>
            </w:r>
          </w:p>
        </w:tc>
        <w:tc>
          <w:tcPr>
            <w:tcW w:type="dxa" w:w="29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Which documents are accepted for KYC at FutureTrust Bank?</w:t>
            </w:r>
          </w:p>
        </w:tc>
        <w:tc>
          <w:tcPr>
            <w:tcW w:type="dxa" w:w="43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Accepted KYC documents include Aadhaar Card, Passport, Voter ID, Driving Licence, and NREGA Job Card for identity. Utility bills, bank statements, and rental agreements are accepted for address proof.</w:t>
            </w:r>
          </w:p>
        </w:tc>
      </w:tr>
      <w:tr>
        <w:tc>
          <w:tcPr>
            <w:tcW w:type="dxa" w:w="9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KYC</w:t>
            </w:r>
          </w:p>
        </w:tc>
        <w:tc>
          <w:tcPr>
            <w:tcW w:type="dxa" w:w="11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Online</w:t>
            </w:r>
          </w:p>
        </w:tc>
        <w:tc>
          <w:tcPr>
            <w:tcW w:type="dxa" w:w="29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Can I do KYC online without visiting the FutureTrust branch?</w:t>
            </w:r>
          </w:p>
        </w:tc>
        <w:tc>
          <w:tcPr>
            <w:tcW w:type="dxa" w:w="43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Yes. FutureTrust offers Video KYC via the FuturePay App. The process takes about 10 minutes and requires your Aadhaar, PAN, and a live selfie. Account is updated within 4 hours of successful video KYC.</w:t>
            </w:r>
          </w:p>
        </w:tc>
      </w:tr>
      <w:tr>
        <w:tc>
          <w:tcPr>
            <w:tcW w:type="dxa" w:w="9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Loans</w:t>
            </w:r>
          </w:p>
        </w:tc>
        <w:tc>
          <w:tcPr>
            <w:tcW w:type="dxa" w:w="11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Home Loan</w:t>
            </w:r>
          </w:p>
        </w:tc>
        <w:tc>
          <w:tcPr>
            <w:tcW w:type="dxa" w:w="29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What is the minimum credit score for a FutureTrust home loan?</w:t>
            </w:r>
          </w:p>
        </w:tc>
        <w:tc>
          <w:tcPr>
            <w:tcW w:type="dxa" w:w="43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 minimum CIBIL score of 680 is required for a FutureTrust Home Loan. The maximum loan-to-value ratio is 90% for loans up to ₹30 lakhs and 80% for higher amounts.</w:t>
            </w:r>
          </w:p>
        </w:tc>
      </w:tr>
      <w:tr>
        <w:tc>
          <w:tcPr>
            <w:tcW w:type="dxa" w:w="9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Loans</w:t>
            </w:r>
          </w:p>
        </w:tc>
        <w:tc>
          <w:tcPr>
            <w:tcW w:type="dxa" w:w="11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Home Loan</w:t>
            </w:r>
          </w:p>
        </w:tc>
        <w:tc>
          <w:tcPr>
            <w:tcW w:type="dxa" w:w="29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What is the maximum home loan amount at FutureTrust Bank?</w:t>
            </w:r>
          </w:p>
        </w:tc>
        <w:tc>
          <w:tcPr>
            <w:tcW w:type="dxa" w:w="43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FutureTrust Bank home loan amounts depend on your income, CIBIL score, and property value. The LTV ratio is up to 90% for loans up to ₹30 lakhs. Contact 1800-FTB-CARE for a personalized assessment.</w:t>
            </w:r>
          </w:p>
        </w:tc>
      </w:tr>
      <w:tr>
        <w:tc>
          <w:tcPr>
            <w:tcW w:type="dxa" w:w="9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Digital</w:t>
            </w:r>
          </w:p>
        </w:tc>
        <w:tc>
          <w:tcPr>
            <w:tcW w:type="dxa" w:w="11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IMPS</w:t>
            </w:r>
          </w:p>
        </w:tc>
        <w:tc>
          <w:tcPr>
            <w:tcW w:type="dxa" w:w="29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My IMPS transfer failed but money was deducted. What should I do?</w:t>
            </w:r>
          </w:p>
        </w:tc>
        <w:tc>
          <w:tcPr>
            <w:tcW w:type="dxa" w:w="43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IMPS failures where money is deducted are auto-reversed within 30 minutes in most cases. If not reversed, call 1800-FTB-CARE with the transaction ID. Resolution is within 1 business hour for failed IMPS credits.</w:t>
            </w:r>
          </w:p>
        </w:tc>
      </w:tr>
      <w:tr>
        <w:tc>
          <w:tcPr>
            <w:tcW w:type="dxa" w:w="9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Digital</w:t>
            </w:r>
          </w:p>
        </w:tc>
        <w:tc>
          <w:tcPr>
            <w:tcW w:type="dxa" w:w="11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App</w:t>
            </w:r>
          </w:p>
        </w:tc>
        <w:tc>
          <w:tcPr>
            <w:tcW w:type="dxa" w:w="29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The FuturePay app is not working. How do I get help?</w:t>
            </w:r>
          </w:p>
        </w:tc>
        <w:tc>
          <w:tcPr>
            <w:tcW w:type="dxa" w:w="43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Call 1800-FTB-CARE and select the Digital Banking option, or email customercare@futuretrustbank.in. You can also use NetBanking as an alternative. Our Digital Support Specialists are available 24/7.</w:t>
            </w:r>
          </w:p>
        </w:tc>
      </w:tr>
      <w:tr>
        <w:tc>
          <w:tcPr>
            <w:tcW w:type="dxa" w:w="9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Senior Citizen</w:t>
            </w:r>
          </w:p>
        </w:tc>
        <w:tc>
          <w:tcPr>
            <w:tcW w:type="dxa" w:w="11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Services</w:t>
            </w:r>
          </w:p>
        </w:tc>
        <w:tc>
          <w:tcPr>
            <w:tcW w:type="dxa" w:w="29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What special services does FutureTrust Bank offer for senior citizens?</w:t>
            </w:r>
          </w:p>
        </w:tc>
        <w:tc>
          <w:tcPr>
            <w:tcW w:type="dxa" w:w="43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Senior citizens receive priority queue access, special FD interest rates (0.5% higher), doorstep banking services, dedicated helpline 1800-FTB-ABLE, and simplified KYC procedures. TDS exemption threshold is also higher at ₹50,000.</w:t>
            </w:r>
          </w:p>
        </w:tc>
      </w:tr>
      <w:tr>
        <w:tc>
          <w:tcPr>
            <w:tcW w:type="dxa" w:w="9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Senior Citizen</w:t>
            </w:r>
          </w:p>
        </w:tc>
        <w:tc>
          <w:tcPr>
            <w:tcW w:type="dxa" w:w="11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FD</w:t>
            </w:r>
          </w:p>
        </w:tc>
        <w:tc>
          <w:tcPr>
            <w:tcW w:type="dxa" w:w="29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Do senior citizens get better FD rates at FutureTrust Bank?</w:t>
            </w:r>
          </w:p>
        </w:tc>
        <w:tc>
          <w:tcPr>
            <w:tcW w:type="dxa" w:w="43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Yes. Senior citizens (60 years and above) receive an additional 0.5% per annum on Fixed Deposit interest rates over and above the standard applicable rate at FutureTrust Bank.</w:t>
            </w:r>
          </w:p>
        </w:tc>
      </w:tr>
      <w:tr>
        <w:tc>
          <w:tcPr>
            <w:tcW w:type="dxa" w:w="9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Accounts</w:t>
            </w:r>
          </w:p>
        </w:tc>
        <w:tc>
          <w:tcPr>
            <w:tcW w:type="dxa" w:w="11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Nomination</w:t>
            </w:r>
          </w:p>
        </w:tc>
        <w:tc>
          <w:tcPr>
            <w:tcW w:type="dxa" w:w="29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How do I add a nominee to my FutureTrust account?</w:t>
            </w:r>
          </w:p>
        </w:tc>
        <w:tc>
          <w:tcPr>
            <w:tcW w:type="dxa" w:w="43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Submit Form DA1 at your home branch or upload it via NetBanking under Account Services. For joint accounts, all holders must consent. The nomination is updated in the system within the same day and an acknowledgment is sent within 5 working days.</w:t>
            </w:r>
          </w:p>
        </w:tc>
      </w:tr>
      <w:tr>
        <w:tc>
          <w:tcPr>
            <w:tcW w:type="dxa" w:w="9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Accounts</w:t>
            </w:r>
          </w:p>
        </w:tc>
        <w:tc>
          <w:tcPr>
            <w:tcW w:type="dxa" w:w="11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Nomination</w:t>
            </w:r>
          </w:p>
        </w:tc>
        <w:tc>
          <w:tcPr>
            <w:tcW w:type="dxa" w:w="29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Can I change my nominee for my FutureTrust Bank account?</w:t>
            </w:r>
          </w:p>
        </w:tc>
        <w:tc>
          <w:tcPr>
            <w:tcW w:type="dxa" w:w="43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Yes. You can change your nominee at any time by submitting a fresh Form DA1 at your branch or via NetBanking. The new nomination supersedes the previous one. You may also do this via the FuturePay App.</w:t>
            </w:r>
          </w:p>
        </w:tc>
      </w:tr>
      <w:tr>
        <w:tc>
          <w:tcPr>
            <w:tcW w:type="dxa" w:w="9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Priority Banking</w:t>
            </w:r>
          </w:p>
        </w:tc>
        <w:tc>
          <w:tcPr>
            <w:tcW w:type="dxa" w:w="11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Demotion</w:t>
            </w:r>
          </w:p>
        </w:tc>
        <w:tc>
          <w:tcPr>
            <w:tcW w:type="dxa" w:w="29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What happens if my balance falls below the Priority Banking threshold?</w:t>
            </w:r>
          </w:p>
        </w:tc>
        <w:tc>
          <w:tcPr>
            <w:tcW w:type="dxa" w:w="43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If your Net Relationship Value falls below ₹8 lakhs for two consecutive quarters, your account is moved to the Premium Savings tier. You will be notified 30 days in advance and given the opportunity to restore your NRV.</w:t>
            </w:r>
          </w:p>
        </w:tc>
      </w:tr>
      <w:tr>
        <w:tc>
          <w:tcPr>
            <w:tcW w:type="dxa" w:w="9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Complaints</w:t>
            </w:r>
          </w:p>
        </w:tc>
        <w:tc>
          <w:tcPr>
            <w:tcW w:type="dxa" w:w="11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Compensation</w:t>
            </w:r>
          </w:p>
        </w:tc>
        <w:tc>
          <w:tcPr>
            <w:tcW w:type="dxa" w:w="29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Can I get compensation if FutureTrust Bank causes me financial loss due to their error?</w:t>
            </w:r>
          </w:p>
        </w:tc>
        <w:tc>
          <w:tcPr>
            <w:tcW w:type="dxa" w:w="43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Yes. FutureTrust's complaint compensation policy includes: full refund plus savings-rate interest for failed transactions, ₹100 per day for resolution delays beyond SLA, ₹250 convenience credit for wrong charges, and up to ₹5,000 for verified fraud-related stress.</w:t>
            </w:r>
          </w:p>
        </w:tc>
      </w:tr>
      <w:tr>
        <w:tc>
          <w:tcPr>
            <w:tcW w:type="dxa" w:w="9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Security</w:t>
            </w:r>
          </w:p>
        </w:tc>
        <w:tc>
          <w:tcPr>
            <w:tcW w:type="dxa" w:w="11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OTP</w:t>
            </w:r>
          </w:p>
        </w:tc>
        <w:tc>
          <w:tcPr>
            <w:tcW w:type="dxa" w:w="29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Will FutureTrust Bank ever ask for my OTP or PIN?</w:t>
            </w:r>
          </w:p>
        </w:tc>
        <w:tc>
          <w:tcPr>
            <w:tcW w:type="dxa" w:w="43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 FutureTrust Bank employees will NEVER ask for your OTP, PIN, password, or full debit card details. If anyone claiming to be from FutureTrust asks for these, it is a fraud attempt. Hang up and report to 1800-FTB-SAFE immediately.</w:t>
            </w:r>
          </w:p>
        </w:tc>
      </w:tr>
      <w:tr>
        <w:tc>
          <w:tcPr>
            <w:tcW w:type="dxa" w:w="9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Security</w:t>
            </w:r>
          </w:p>
        </w:tc>
        <w:tc>
          <w:tcPr>
            <w:tcW w:type="dxa" w:w="11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Phishing</w:t>
            </w:r>
          </w:p>
        </w:tc>
        <w:tc>
          <w:tcPr>
            <w:tcW w:type="dxa" w:w="29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 clicked on a suspicious link and my account might be compromised. What should I do?</w:t>
            </w:r>
          </w:p>
        </w:tc>
        <w:tc>
          <w:tcPr>
            <w:tcW w:type="dxa" w:w="43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Immediately call 1800-FTB-SAFE to freeze your account and block your cards. Change your NetBanking password from a secure device. Do not log into your account from the same device until it is checked for malware. File a complaint with Cybercrime portal (cybercrime.gov.in).</w:t>
            </w:r>
          </w:p>
        </w:tc>
      </w:tr>
      <w:tr>
        <w:tc>
          <w:tcPr>
            <w:tcW w:type="dxa" w:w="9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Accounts</w:t>
            </w:r>
          </w:p>
        </w:tc>
        <w:tc>
          <w:tcPr>
            <w:tcW w:type="dxa" w:w="11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Dormant</w:t>
            </w:r>
          </w:p>
        </w:tc>
        <w:tc>
          <w:tcPr>
            <w:tcW w:type="dxa" w:w="29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How do I reactivate a dormant FutureTrust bank account?</w:t>
            </w:r>
          </w:p>
        </w:tc>
        <w:tc>
          <w:tcPr>
            <w:tcW w:type="dxa" w:w="43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Visit your home branch with valid identity proof and address proof. Submit a reactivation request form, complete any pending KYC if required, and make a small deposit or withdrawal. The account is reactivated within 1 business day.</w:t>
            </w:r>
          </w:p>
        </w:tc>
      </w:tr>
      <w:tr>
        <w:tc>
          <w:tcPr>
            <w:tcW w:type="dxa" w:w="9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Accounts</w:t>
            </w:r>
          </w:p>
        </w:tc>
        <w:tc>
          <w:tcPr>
            <w:tcW w:type="dxa" w:w="11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Dormant</w:t>
            </w:r>
          </w:p>
        </w:tc>
        <w:tc>
          <w:tcPr>
            <w:tcW w:type="dxa" w:w="29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What makes a FutureTrust account go dormant?</w:t>
            </w:r>
          </w:p>
        </w:tc>
        <w:tc>
          <w:tcPr>
            <w:tcW w:type="dxa" w:w="43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An account with no customer-initiated transactions for 12 months is classified as inactive. After 24 months of no transactions, it becomes dormant. Dormant accounts cannot do online transactions but can receive credits.</w:t>
            </w:r>
          </w:p>
        </w:tc>
      </w:tr>
      <w:tr>
        <w:tc>
          <w:tcPr>
            <w:tcW w:type="dxa" w:w="9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Digital</w:t>
            </w:r>
          </w:p>
        </w:tc>
        <w:tc>
          <w:tcPr>
            <w:tcW w:type="dxa" w:w="11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AutoPay</w:t>
            </w:r>
          </w:p>
        </w:tc>
        <w:tc>
          <w:tcPr>
            <w:tcW w:type="dxa" w:w="29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How do I set up an AutoPay / NACH mandate for my loan EMI?</w:t>
            </w:r>
          </w:p>
        </w:tc>
        <w:tc>
          <w:tcPr>
            <w:tcW w:type="dxa" w:w="43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NACH mandates can be set up at your branch or via NetBanking under Bill Payments &gt; AutoPay. You need your loan account details, repayment bank's IFSC, and account number. The mandate is activated within 10 working days.</w:t>
            </w:r>
          </w:p>
        </w:tc>
      </w:tr>
      <w:tr>
        <w:tc>
          <w:tcPr>
            <w:tcW w:type="dxa" w:w="9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Digital</w:t>
            </w:r>
          </w:p>
        </w:tc>
        <w:tc>
          <w:tcPr>
            <w:tcW w:type="dxa" w:w="11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AutoPay</w:t>
            </w:r>
          </w:p>
        </w:tc>
        <w:tc>
          <w:tcPr>
            <w:tcW w:type="dxa" w:w="29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How do I cancel an AutoPay instruction with FutureTrust Bank?</w:t>
            </w:r>
          </w:p>
        </w:tc>
        <w:tc>
          <w:tcPr>
            <w:tcW w:type="dxa" w:w="43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Cancel an AutoPay instruction via NetBanking under Bill Payments &gt; AutoPay &gt; Cancel, or by submitting a cancellation request at your branch at least 10 days before the next debit date.</w:t>
            </w:r>
          </w:p>
        </w:tc>
      </w:tr>
      <w:tr>
        <w:tc>
          <w:tcPr>
            <w:tcW w:type="dxa" w:w="9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NRI</w:t>
            </w:r>
          </w:p>
        </w:tc>
        <w:tc>
          <w:tcPr>
            <w:tcW w:type="dxa" w:w="11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Repatriation</w:t>
            </w:r>
          </w:p>
        </w:tc>
        <w:tc>
          <w:tcPr>
            <w:tcW w:type="dxa" w:w="29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How much money can I repatriate from my FutureTrust NRO account?</w:t>
            </w:r>
          </w:p>
        </w:tc>
        <w:tc>
          <w:tcPr>
            <w:tcW w:type="dxa" w:w="43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NRO account holders can repatriate up to USD 1 million per financial year for bonafide purposes, subject to tax compliance and FEMA guidelines. NRE account funds are fully and freely repatriable.</w:t>
            </w:r>
          </w:p>
        </w:tc>
      </w:tr>
      <w:tr>
        <w:tc>
          <w:tcPr>
            <w:tcW w:type="dxa" w:w="9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General</w:t>
            </w:r>
          </w:p>
        </w:tc>
        <w:tc>
          <w:tcPr>
            <w:tcW w:type="dxa" w:w="11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Language</w:t>
            </w:r>
          </w:p>
        </w:tc>
        <w:tc>
          <w:tcPr>
            <w:tcW w:type="dxa" w:w="29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Can I speak to FutureTrust customer care in Tamil or Telugu?</w:t>
            </w:r>
          </w:p>
        </w:tc>
        <w:tc>
          <w:tcPr>
            <w:tcW w:type="dxa" w:w="43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Yes. FutureTrust Bank customer care supports 8 languages including English, Hindi, Telugu, Tamil, Kannada, Marathi, Bengali, and Gujarati. Request your preferred language at the start of the call.</w:t>
            </w:r>
          </w:p>
        </w:tc>
      </w:tr>
      <w:tr>
        <w:tc>
          <w:tcPr>
            <w:tcW w:type="dxa" w:w="9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Accounts</w:t>
            </w:r>
          </w:p>
        </w:tc>
        <w:tc>
          <w:tcPr>
            <w:tcW w:type="dxa" w:w="11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Joint Account</w:t>
            </w:r>
          </w:p>
        </w:tc>
        <w:tc>
          <w:tcPr>
            <w:tcW w:type="dxa" w:w="29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Can I open a joint account with my spouse at FutureTrust Bank?</w:t>
            </w:r>
          </w:p>
        </w:tc>
        <w:tc>
          <w:tcPr>
            <w:tcW w:type="dxa" w:w="43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Yes, FutureTrust offers joint savings and current accounts. Both applicants must provide identity and address proof. You can specify either/or or former/survivor operation mode. Visit your nearest branch to open a joint account.</w:t>
            </w:r>
          </w:p>
        </w:tc>
      </w:tr>
      <w:tr>
        <w:tc>
          <w:tcPr>
            <w:tcW w:type="dxa" w:w="9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Accounts</w:t>
            </w:r>
          </w:p>
        </w:tc>
        <w:tc>
          <w:tcPr>
            <w:tcW w:type="dxa" w:w="11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Address Change</w:t>
            </w:r>
          </w:p>
        </w:tc>
        <w:tc>
          <w:tcPr>
            <w:tcW w:type="dxa" w:w="29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How do I update my address in FutureTrust Bank records?</w:t>
            </w:r>
          </w:p>
        </w:tc>
        <w:tc>
          <w:tcPr>
            <w:tcW w:type="dxa" w:w="43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Update your address online via NetBanking (Profile &gt; Update Address) with OTP verification for minor changes. For a completely different address or city change, visit your branch with updated address proof documents.</w:t>
            </w:r>
          </w:p>
        </w:tc>
      </w:tr>
      <w:tr>
        <w:tc>
          <w:tcPr>
            <w:tcW w:type="dxa" w:w="9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Accounts</w:t>
            </w:r>
          </w:p>
        </w:tc>
        <w:tc>
          <w:tcPr>
            <w:tcW w:type="dxa" w:w="11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Email Change</w:t>
            </w:r>
          </w:p>
        </w:tc>
        <w:tc>
          <w:tcPr>
            <w:tcW w:type="dxa" w:w="29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How do I update my email address registered with FutureTrust Bank?</w:t>
            </w:r>
          </w:p>
        </w:tc>
        <w:tc>
          <w:tcPr>
            <w:tcW w:type="dxa" w:w="43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Update your registered email via NetBanking under Profile Settings with OTP verification to both old and new email, or visit your branch with identity proof. Email updates are reflected within 24 hours.</w:t>
            </w:r>
          </w:p>
        </w:tc>
      </w:tr>
      <w:tr>
        <w:tc>
          <w:tcPr>
            <w:tcW w:type="dxa" w:w="9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Cards</w:t>
            </w:r>
          </w:p>
        </w:tc>
        <w:tc>
          <w:tcPr>
            <w:tcW w:type="dxa" w:w="11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International</w:t>
            </w:r>
          </w:p>
        </w:tc>
        <w:tc>
          <w:tcPr>
            <w:tcW w:type="dxa" w:w="29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How do I enable international transactions on my FutureTrust debit card?</w:t>
            </w:r>
          </w:p>
        </w:tc>
        <w:tc>
          <w:tcPr>
            <w:tcW w:type="dxa" w:w="43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Enable international usage via NetBanking (Cards &gt; Card Controls &gt; International Transactions), FuturePay App, or by calling 1800-FTB-CARE. You can also set daily limits for international usage.</w:t>
            </w:r>
          </w:p>
        </w:tc>
      </w:tr>
      <w:tr>
        <w:tc>
          <w:tcPr>
            <w:tcW w:type="dxa" w:w="9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Cards</w:t>
            </w:r>
          </w:p>
        </w:tc>
        <w:tc>
          <w:tcPr>
            <w:tcW w:type="dxa" w:w="11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Credit Card</w:t>
            </w:r>
          </w:p>
        </w:tc>
        <w:tc>
          <w:tcPr>
            <w:tcW w:type="dxa" w:w="29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How do I convert my FutureTrust credit card purchase to EMI?</w:t>
            </w:r>
          </w:p>
        </w:tc>
        <w:tc>
          <w:tcPr>
            <w:tcW w:type="dxa" w:w="43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Convert to EMI via FuturePay App (Credit Card &gt; Convert to EMI), NetBanking, or by calling 1800-FTB-CARE. EMI conversion is available for eligible transactions within 30 days of purchase.</w:t>
            </w:r>
          </w:p>
        </w:tc>
      </w:tr>
      <w:tr>
        <w:tc>
          <w:tcPr>
            <w:tcW w:type="dxa" w:w="9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Loans</w:t>
            </w:r>
          </w:p>
        </w:tc>
        <w:tc>
          <w:tcPr>
            <w:tcW w:type="dxa" w:w="11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Application Status</w:t>
            </w:r>
          </w:p>
        </w:tc>
        <w:tc>
          <w:tcPr>
            <w:tcW w:type="dxa" w:w="29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How do I check the status of my FutureTrust loan application?</w:t>
            </w:r>
          </w:p>
        </w:tc>
        <w:tc>
          <w:tcPr>
            <w:tcW w:type="dxa" w:w="43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Track your loan application status via the FuturePay App (Loans &gt; Application Status), NetBanking, by calling 1800-FTB-CARE, or by visiting your branch with your application reference number.</w:t>
            </w:r>
          </w:p>
        </w:tc>
      </w:tr>
      <w:tr>
        <w:tc>
          <w:tcPr>
            <w:tcW w:type="dxa" w:w="9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Loans</w:t>
            </w:r>
          </w:p>
        </w:tc>
        <w:tc>
          <w:tcPr>
            <w:tcW w:type="dxa" w:w="11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EMI Bounce</w:t>
            </w:r>
          </w:p>
        </w:tc>
        <w:tc>
          <w:tcPr>
            <w:tcW w:type="dxa" w:w="29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My FutureTrust loan EMI bounced. What happens next?</w:t>
            </w:r>
          </w:p>
        </w:tc>
        <w:tc>
          <w:tcPr>
            <w:tcW w:type="dxa" w:w="43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Bounce charges per your loan agreement apply. Pay the EMI manually via NEFT to your loan account immediately to avoid further penalties. Contact FutureTrust if the bounce was due to a bank error – charges will be waived and the issue resolved.</w:t>
            </w:r>
          </w:p>
        </w:tc>
      </w:tr>
      <w:tr>
        <w:tc>
          <w:tcPr>
            <w:tcW w:type="dxa" w:w="9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FD</w:t>
            </w:r>
          </w:p>
        </w:tc>
        <w:tc>
          <w:tcPr>
            <w:tcW w:type="dxa" w:w="11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Renewal</w:t>
            </w:r>
          </w:p>
        </w:tc>
        <w:tc>
          <w:tcPr>
            <w:tcW w:type="dxa" w:w="29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Does FutureTrust Bank auto-renew Fixed Deposits?</w:t>
            </w:r>
          </w:p>
        </w:tc>
        <w:tc>
          <w:tcPr>
            <w:tcW w:type="dxa" w:w="43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Yes, FutureTrust FDs are auto-renewed at maturity at the prevailing interest rate for the same tenure, unless you specify otherwise. You can change renewal instructions via NetBanking or by visiting your branch before maturity.</w:t>
            </w:r>
          </w:p>
        </w:tc>
      </w:tr>
      <w:tr>
        <w:tc>
          <w:tcPr>
            <w:tcW w:type="dxa" w:w="9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Government Schemes</w:t>
            </w:r>
          </w:p>
        </w:tc>
        <w:tc>
          <w:tcPr>
            <w:tcW w:type="dxa" w:w="11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Jan Dhan</w:t>
            </w:r>
          </w:p>
        </w:tc>
        <w:tc>
          <w:tcPr>
            <w:tcW w:type="dxa" w:w="29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Can I open a PM Jan Dhan Yojana account at FutureTrust Bank?</w:t>
            </w:r>
          </w:p>
        </w:tc>
        <w:tc>
          <w:tcPr>
            <w:tcW w:type="dxa" w:w="43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Yes. FutureTrust Bank is an authorized Jan Dhan bank. Visit any branch with Aadhaar or other OVD to open a PMJDY account with zero minimum balance, ₹1 lakh accident insurance, and RuPay debit card.</w:t>
            </w:r>
          </w:p>
        </w:tc>
      </w:tr>
      <w:tr>
        <w:tc>
          <w:tcPr>
            <w:tcW w:type="dxa" w:w="9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Government Schemes</w:t>
            </w:r>
          </w:p>
        </w:tc>
        <w:tc>
          <w:tcPr>
            <w:tcW w:type="dxa" w:w="11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Mudra</w:t>
            </w:r>
          </w:p>
        </w:tc>
        <w:tc>
          <w:tcPr>
            <w:tcW w:type="dxa" w:w="29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Does FutureTrust Bank offer PM Mudra Yojana loans?</w:t>
            </w:r>
          </w:p>
        </w:tc>
        <w:tc>
          <w:tcPr>
            <w:tcW w:type="dxa" w:w="43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Yes. FutureTrust Bank offers Mudra loans under three categories: Shishu (up to ₹50,000), Kishore (₹50,001 to ₹5 lakhs), and Tarun (₹5 lakhs to ₹10 lakhs) for small businesses and entrepreneurs.</w:t>
            </w:r>
          </w:p>
        </w:tc>
      </w:tr>
      <w:tr>
        <w:tc>
          <w:tcPr>
            <w:tcW w:type="dxa" w:w="9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Advanced</w:t>
            </w:r>
          </w:p>
        </w:tc>
        <w:tc>
          <w:tcPr>
            <w:tcW w:type="dxa" w:w="11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System Downtime</w:t>
            </w:r>
          </w:p>
        </w:tc>
        <w:tc>
          <w:tcPr>
            <w:tcW w:type="dxa" w:w="29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What should I do if FutureTrust NetBanking is down and I need an urgent transfer?</w:t>
            </w:r>
          </w:p>
        </w:tc>
        <w:tc>
          <w:tcPr>
            <w:tcW w:type="dxa" w:w="43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Call 1800-FTB-CARE for phone-assisted NEFT/RTGS transfer (requires authentication). You can also visit a branch or use an ATM for cash. FutureTrust activates backup systems for critical transactions during downtime.</w:t>
            </w:r>
          </w:p>
        </w:tc>
      </w:tr>
      <w:tr>
        <w:tc>
          <w:tcPr>
            <w:tcW w:type="dxa" w:w="9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Advanced</w:t>
            </w:r>
          </w:p>
        </w:tc>
        <w:tc>
          <w:tcPr>
            <w:tcW w:type="dxa" w:w="11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Salary Account</w:t>
            </w:r>
          </w:p>
        </w:tc>
        <w:tc>
          <w:tcPr>
            <w:tcW w:type="dxa" w:w="29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My employer pays salary to my FutureTrust account but it hasn't arrived. What should I do?</w:t>
            </w:r>
          </w:p>
        </w:tc>
        <w:tc>
          <w:tcPr>
            <w:tcW w:type="dxa" w:w="43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First confirm with your employer if the salary transfer was initiated and note the UTR number. Then call 1800-FTB-CARE with the UTR. If the credit was sent but not received, we will trace via NPCI within 2 business hours.</w:t>
            </w:r>
          </w:p>
        </w:tc>
      </w:tr>
      <w:tr>
        <w:tc>
          <w:tcPr>
            <w:tcW w:type="dxa" w:w="9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Advanced</w:t>
            </w:r>
          </w:p>
        </w:tc>
        <w:tc>
          <w:tcPr>
            <w:tcW w:type="dxa" w:w="11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Insurance Claim</w:t>
            </w:r>
          </w:p>
        </w:tc>
        <w:tc>
          <w:tcPr>
            <w:tcW w:type="dxa" w:w="29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How do I claim insurance on my FutureTrust account debit card?</w:t>
            </w:r>
          </w:p>
        </w:tc>
        <w:tc>
          <w:tcPr>
            <w:tcW w:type="dxa" w:w="43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FutureTrust RuPay debit cards come with an accident insurance cover. To claim, contact FutureTrust within 45 days of the event with death certificate (for life cover) or medical bills (for accidental hospitalization). The claim is processed via our insurance partner within 30 days.</w:t>
            </w:r>
          </w:p>
        </w:tc>
      </w:tr>
      <w:tr>
        <w:tc>
          <w:tcPr>
            <w:tcW w:type="dxa" w:w="9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Advanced</w:t>
            </w:r>
          </w:p>
        </w:tc>
        <w:tc>
          <w:tcPr>
            <w:tcW w:type="dxa" w:w="110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High Value Transfer</w:t>
            </w:r>
          </w:p>
        </w:tc>
        <w:tc>
          <w:tcPr>
            <w:tcW w:type="dxa" w:w="29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 want to transfer ₹50 lakhs. What are the options and limits?</w:t>
            </w:r>
          </w:p>
        </w:tc>
        <w:tc>
          <w:tcPr>
            <w:tcW w:type="dxa" w:w="4380"/>
            <w:tcBorders>
              <w:top w:val="single" w:color="AECDE0" w:sz="1"/>
              <w:left w:val="single" w:color="AECDE0" w:sz="1"/>
              <w:bottom w:val="single" w:color="AECDE0" w:sz="1"/>
              <w:right w:val="single" w:color="AECDE0" w:sz="1"/>
            </w:tcBorders>
            <w:shd w:fill="E8F4FD"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For ₹50 lakhs, use RTGS (minimum ₹2 lakhs, maximum as per your account limit). Online RTGS is free for FutureTrust customers. For RTGS, the beneficiary bank must be RTGS-enabled. Transfers within FutureTrust accounts can be done via internal transfer with no limits. Call 1800-FTB-CARE for limit enhancement if needed.</w:t>
            </w:r>
          </w:p>
        </w:tc>
      </w:tr>
      <w:tr>
        <w:tc>
          <w:tcPr>
            <w:tcW w:type="dxa" w:w="9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Advanced</w:t>
            </w:r>
          </w:p>
        </w:tc>
        <w:tc>
          <w:tcPr>
            <w:tcW w:type="dxa" w:w="110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Wrong Beneficiary</w:t>
            </w:r>
          </w:p>
        </w:tc>
        <w:tc>
          <w:tcPr>
            <w:tcW w:type="dxa" w:w="29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 transferred money to the wrong account number. Can FutureTrust reverse it?</w:t>
            </w:r>
          </w:p>
        </w:tc>
        <w:tc>
          <w:tcPr>
            <w:tcW w:type="dxa" w:w="4380"/>
            <w:tcBorders>
              <w:top w:val="single" w:color="AECDE0" w:sz="1"/>
              <w:left w:val="single" w:color="AECDE0" w:sz="1"/>
              <w:bottom w:val="single" w:color="AECDE0" w:sz="1"/>
              <w:right w:val="single" w:color="AECDE0" w:sz="1"/>
            </w:tcBorders>
            <w:shd w:fill="F2F6FB" w:color="auto"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Raise the issue immediately via 1800-FTB-CARE. FutureTrust will send a reversal request to the beneficiary bank. The reversal depends on the beneficiary's consent and their bank's cooperation. Under RBI guidelines, if the beneficiary refuses, you may need to take legal action. Always double-check account details before confirming transfers.</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5C9E" w:sz="4" w:space="1"/>
      </w:pBdr>
      <w:spacing w:after="0" w:before="120"/>
    </w:pPr>
    <w:r>
      <w:rPr>
        <w:rFonts w:ascii="Arial" w:cs="Arial" w:eastAsia="Arial" w:hAnsi="Arial"/>
        <w:color w:val="1A3A5C"/>
        <w:sz w:val="18"/>
        <w:szCs w:val="18"/>
      </w:rPr>
      <w:t xml:space="preserve">© 2024 FutureTrust Bank Ltd. All Rights Reserved.  |  Page </w:t>
    </w:r>
    <w:r>
      <w:rPr>
        <w:rFonts w:ascii="Arial" w:cs="Arial" w:eastAsia="Arial" w:hAnsi="Arial"/>
        <w:color w:val="1A3A5C"/>
        <w:sz w:val="18"/>
        <w:szCs w:val="18"/>
      </w:rPr>
      <w:fldChar w:fldCharType="begin"/>
      <w:instrText xml:space="preserve">PAGE</w:instrText>
      <w:fldChar w:fldCharType="separate"/>
      <w:fldChar w:fldCharType="end"/>
    </w:r>
    <w:r>
      <w:rPr>
        <w:rFonts w:ascii="Arial" w:cs="Arial" w:eastAsia="Arial" w:hAnsi="Arial"/>
        <w:color w:val="1A3A5C"/>
        <w:sz w:val="18"/>
        <w:szCs w:val="18"/>
      </w:rPr>
      <w:t xml:space="preserve"> of </w:t>
    </w:r>
    <w:r>
      <w:rPr>
        <w:rFonts w:ascii="Arial" w:cs="Arial" w:eastAsia="Arial" w:hAnsi="Arial"/>
        <w:color w:val="1A3A5C"/>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E" w:sz="6" w:space="1"/>
      </w:pBdr>
      <w:tabs>
        <w:tab w:val="right" w:pos="9360"/>
      </w:tabs>
      <w:spacing w:after="120" w:before="0"/>
    </w:pPr>
    <w:r>
      <w:rPr>
        <w:rFonts w:ascii="Arial" w:cs="Arial" w:eastAsia="Arial" w:hAnsi="Arial"/>
        <w:color w:val="1F5C9E"/>
        <w:sz w:val="18"/>
        <w:szCs w:val="18"/>
      </w:rPr>
      <w:t xml:space="preserve">FutureTrust Bank  |  Customer Service Department Knowledge Base</w:t>
    </w:r>
    <w:r>
      <w:rPr>
        <w:rFonts w:ascii="Arial" w:cs="Arial" w:eastAsia="Arial" w:hAnsi="Arial"/>
        <w:sz w:val="18"/>
        <w:szCs w:val="18"/>
      </w:rPr>
      <w:t xml:space="preserve">	</w:t>
    </w:r>
    <w:r>
      <w:rPr>
        <w:rFonts w:ascii="Arial" w:cs="Arial" w:eastAsia="Arial" w:hAnsi="Arial"/>
        <w:b/>
        <w:bCs/>
        <w:color w:val="003366"/>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3366"/>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5C9E"/>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2026-06-19T05:38:34.453Z</dcterms:created>
  <dcterms:modified xsi:type="dcterms:W3CDTF">2026-06-19T05:38:34.454Z</dcterms:modified>
</cp:coreProperties>
</file>

<file path=docProps/custom.xml><?xml version="1.0" encoding="utf-8"?>
<Properties xmlns="http://schemas.openxmlformats.org/officeDocument/2006/custom-properties" xmlns:vt="http://schemas.openxmlformats.org/officeDocument/2006/docPropsVTypes"/>
</file>