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2026-04-24 17:25 ET  |  16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40%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44%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