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2026-04-28 17:37 ET  |  18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40%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55%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2E7D32"/>
        </w:rPr>
        <w:t>KO — The Coca-Cola Company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$75.88   </w:t>
      </w:r>
      <w:r>
        <w:rPr>
          <w:b/>
        </w:rPr>
        <w:t xml:space="preserve">Exit: </w:t>
      </w:r>
      <w:r>
        <w:t xml:space="preserve">$80.06   </w:t>
      </w:r>
      <w:r>
        <w:rPr>
          <w:b/>
        </w:rPr>
        <w:t xml:space="preserve">P&amp;L: </w:t>
      </w:r>
      <w:r>
        <w:t>$+25.08 (+5.5%)</w:t>
      </w:r>
    </w:p>
    <w:p>
      <w:r>
        <w:rPr>
          <w:b/>
        </w:rPr>
        <w:t xml:space="preserve">EPS: </w:t>
      </w:r>
      <w:r>
        <w:t>$0.86 reported vs $0.81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KO beat EPS estimates by +6.2% (reported $0.86 vs $0.81 expected). The position returned +5.5%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SPGI — S&amp;P Global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$442.14   </w:t>
      </w:r>
      <w:r>
        <w:rPr>
          <w:b/>
        </w:rPr>
        <w:t xml:space="preserve">Exit: </w:t>
      </w:r>
      <w:r>
        <w:t xml:space="preserve">$448.58   </w:t>
      </w:r>
      <w:r>
        <w:rPr>
          <w:b/>
        </w:rPr>
        <w:t xml:space="preserve">P&amp;L: </w:t>
      </w:r>
      <w:r>
        <w:t>$+6.44 (+1.5%)</w:t>
      </w:r>
    </w:p>
    <w:p>
      <w:r>
        <w:rPr>
          <w:b/>
        </w:rPr>
        <w:t xml:space="preserve">EPS: </w:t>
      </w:r>
      <w:r>
        <w:t>$4.97 reported vs $4.82 est (+3.1%)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SPGI beat EPS estimates by +3.1% (reported $4.97 vs $4.82 expected). The position returned +1.5%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INTC — Intel Corporation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$67.72   </w:t>
      </w:r>
      <w:r>
        <w:rPr>
          <w:b/>
        </w:rPr>
        <w:t xml:space="preserve">Exit: </w:t>
      </w:r>
      <w:r>
        <w:t xml:space="preserve">$82.88   </w:t>
      </w:r>
      <w:r>
        <w:rPr>
          <w:b/>
        </w:rPr>
        <w:t xml:space="preserve">P&amp;L: </w:t>
      </w:r>
      <w:r>
        <w:t>$+212.30 (+22.4%)</w:t>
      </w:r>
    </w:p>
    <w:p>
      <w:r>
        <w:rPr>
          <w:b/>
        </w:rPr>
        <w:t xml:space="preserve">EPS: </w:t>
      </w:r>
      <w:r>
        <w:t>$0.29 reported vs $0.01 est (+2800.0%)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INTC beat EPS estimates by +2800.0% (reported $0.29 vs $0.01 expected). The position returned +22.4%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PG — The Procter &amp; Gamble Company  (WIN)</w:t>
      </w:r>
    </w:p>
    <w:p>
      <w:r>
        <w:rPr>
          <w:b/>
        </w:rPr>
        <w:t xml:space="preserve">Earnings date: </w:t>
      </w:r>
      <w:r>
        <w:t xml:space="preserve">2026-04-24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$145.43   </w:t>
      </w:r>
      <w:r>
        <w:rPr>
          <w:b/>
        </w:rPr>
        <w:t xml:space="preserve">Exit: </w:t>
      </w:r>
      <w:r>
        <w:t xml:space="preserve">$150.32   </w:t>
      </w:r>
      <w:r>
        <w:rPr>
          <w:b/>
        </w:rPr>
        <w:t xml:space="preserve">P&amp;L: </w:t>
      </w:r>
      <w:r>
        <w:t>$+14.67 (+3.4%)</w:t>
      </w:r>
    </w:p>
    <w:p>
      <w:r>
        <w:rPr>
          <w:b/>
        </w:rPr>
        <w:t xml:space="preserve">EPS: </w:t>
      </w:r>
      <w:r>
        <w:t>$1.59 reported vs $1.56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PG beat EPS estimates by +1.9% (reported $1.59 vs $1.56 expected). The position returned +3.4%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GILD — Gilead Sciences,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$137.68   </w:t>
      </w:r>
      <w:r>
        <w:rPr>
          <w:b/>
        </w:rPr>
        <w:t xml:space="preserve">Exit: </w:t>
      </w:r>
      <w:r>
        <w:t xml:space="preserve">$130.71   </w:t>
      </w:r>
      <w:r>
        <w:rPr>
          <w:b/>
        </w:rPr>
        <w:t xml:space="preserve">P&amp;L: </w:t>
      </w:r>
      <w:r>
        <w:t>$-20.91 (-5.1%)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GILD earnings results not yet confirmed in data feed. The position returned -5.1%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