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2026-05-06 12:36 ET  |  43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56%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86%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