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69DC76">
      <w:pPr>
        <w:spacing w:before="2200"/>
      </w:pPr>
    </w:p>
    <w:p w14:paraId="684D543C">
      <w:pPr>
        <w:jc w:val="center"/>
      </w:pPr>
      <w:r>
        <w:rPr>
          <w:b/>
          <w:bCs/>
          <w:color w:val="1F3864"/>
          <w:sz w:val="56"/>
          <w:szCs w:val="56"/>
        </w:rPr>
        <w:t>BharatKart</w:t>
      </w:r>
    </w:p>
    <w:p w14:paraId="7B151690">
      <w:pPr>
        <w:spacing w:before="200" w:after="100"/>
        <w:jc w:val="center"/>
      </w:pPr>
      <w:r>
        <w:rPr>
          <w:b/>
          <w:bCs/>
          <w:color w:val="000000"/>
          <w:sz w:val="32"/>
          <w:szCs w:val="32"/>
        </w:rPr>
        <w:t>Diagnostic Analysis &amp; Business Recommendations</w:t>
      </w:r>
    </w:p>
    <w:p w14:paraId="0755D0AC">
      <w:pPr>
        <w:spacing w:before="100" w:after="100"/>
        <w:jc w:val="center"/>
      </w:pPr>
      <w:r>
        <w:rPr>
          <w:i/>
          <w:iCs/>
          <w:color w:val="7B241C"/>
          <w:sz w:val="24"/>
          <w:szCs w:val="24"/>
        </w:rPr>
        <w:t>From Business Problems to Actionable Insights</w:t>
      </w:r>
    </w:p>
    <w:p w14:paraId="18C305F3">
      <w:pPr>
        <w:spacing w:before="100"/>
        <w:jc w:val="center"/>
      </w:pPr>
      <w:r>
        <w:rPr>
          <w:i/>
          <w:iCs/>
          <w:color w:val="595959"/>
          <w:sz w:val="21"/>
          <w:szCs w:val="21"/>
        </w:rPr>
        <w:t>Report 2 of 2 — Diagnostic Findings &amp; Recommendations</w:t>
      </w:r>
    </w:p>
    <w:p w14:paraId="31373F4E">
      <w:pPr>
        <w:spacing w:before="500"/>
        <w:jc w:val="center"/>
      </w:pPr>
      <w:r>
        <w:rPr>
          <w:color w:val="595959"/>
          <w:sz w:val="21"/>
          <w:szCs w:val="21"/>
        </w:rPr>
        <w:t>Analysis Period: 2024-01-01 to 2025-12-31</w:t>
      </w:r>
    </w:p>
    <w:p w14:paraId="75F853E1">
      <w:pPr>
        <w:spacing w:before="100"/>
        <w:jc w:val="center"/>
      </w:pPr>
      <w:r>
        <w:rPr>
          <w:color w:val="595959"/>
          <w:sz w:val="21"/>
          <w:szCs w:val="21"/>
        </w:rPr>
        <w:t>Data Source: BharatKart Relational E-Commerce Database</w:t>
      </w:r>
    </w:p>
    <w:p w14:paraId="5B423234">
      <w:pPr>
        <w:spacing w:before="2800"/>
      </w:pPr>
    </w:p>
    <w:p w14:paraId="6D687276">
      <w:pPr>
        <w:pBdr>
          <w:top w:val="single" w:color="1F3864" w:sz="6" w:space="8"/>
        </w:pBdr>
        <w:jc w:val="center"/>
      </w:pPr>
    </w:p>
    <w:p w14:paraId="73D20B4E">
      <w:pPr>
        <w:spacing w:before="150"/>
        <w:jc w:val="center"/>
      </w:pPr>
      <w:r>
        <w:rPr>
          <w:i/>
          <w:iCs/>
          <w:color w:val="595959"/>
          <w:sz w:val="19"/>
          <w:szCs w:val="19"/>
        </w:rPr>
        <w:t>This report presents diagnostic, evidence-based findings and practical recommendations. The underlying dataset is a synthetic e-commerce simulation; findings should be read as a business-analysis case study rather than as facts about a real company.</w:t>
      </w:r>
    </w:p>
    <w:p w14:paraId="4C9F25DD">
      <w:pPr>
        <w:sectPr>
          <w:pgSz w:w="12240" w:h="15840"/>
          <w:pgMar w:top="1440" w:right="1440" w:bottom="1440" w:left="1440" w:header="708" w:footer="708" w:gutter="0"/>
          <w:cols w:space="720" w:num="1"/>
          <w:docGrid w:linePitch="360" w:charSpace="0"/>
        </w:sectPr>
      </w:pPr>
    </w:p>
    <w:p w14:paraId="77F46F9E">
      <w:pPr>
        <w:pStyle w:val="2"/>
        <w:pBdr>
          <w:bottom w:val="single" w:color="1F3864" w:sz="6" w:space="4"/>
        </w:pBdr>
        <w:spacing w:before="400" w:after="200"/>
      </w:pPr>
      <w:r>
        <w:rPr>
          <w:b/>
          <w:bCs/>
          <w:color w:val="1F3864"/>
          <w:sz w:val="30"/>
          <w:szCs w:val="30"/>
        </w:rPr>
        <w:t>1. Executive Summary</w:t>
      </w:r>
    </w:p>
    <w:p w14:paraId="7E00938B">
      <w:pPr>
        <w:spacing w:after="150" w:line="276" w:lineRule="auto"/>
      </w:pPr>
      <w:r>
        <w:rPr>
          <w:sz w:val="21"/>
          <w:szCs w:val="21"/>
        </w:rPr>
        <w:t>Report 1 established what the BharatKart data shows: ₹87+ Cr in delivered revenue against a thin 2.38% profit margin, a sharp profit collapse in October/Q4 despite peak revenue, a customer base where 61.5% of buyers order only once, a 61.20% late-delivery rate, and a return/payment pattern led by product damage and COD unreliability. This report investigates why these patterns appear in the data and what BharatKart could practically do about them.</w:t>
      </w:r>
    </w:p>
    <w:p w14:paraId="3D0E0677">
      <w:pPr>
        <w:spacing w:after="150" w:line="276" w:lineRule="auto"/>
      </w:pPr>
      <w:r>
        <w:rPr>
          <w:sz w:val="21"/>
          <w:szCs w:val="21"/>
        </w:rPr>
        <w:t>Five business problems were selected for diagnostic investigation, each tested through targeted comparisons — profitable vs. loss-making items, October vs. rest-of-year, one-time vs. repeat customers, state/seller/category delivery performance, and regional seller profitability in Maharashtra and Tamil Nadu.</w:t>
      </w:r>
    </w:p>
    <w:p w14:paraId="6E2E4F8D">
      <w:pPr>
        <w:spacing w:after="150" w:line="276" w:lineRule="auto"/>
      </w:pPr>
      <w:r>
        <w:rPr>
          <w:sz w:val="21"/>
          <w:szCs w:val="21"/>
        </w:rPr>
        <w:t>Across the five investigations, two factors recur consistently: discount depth and category-level margin fragility (particularly in Electronics and Grocery). October emerges as a period where these two factors compound. Late delivery, by contrast, shows no concentration in any single state, seller, or category, pointing to a broader, systemic pattern rather than an isolated cause.</w:t>
      </w:r>
    </w:p>
    <w:p w14:paraId="08C3777A">
      <w:pPr>
        <w:pStyle w:val="4"/>
        <w:spacing w:before="200" w:after="100"/>
      </w:pPr>
      <w:r>
        <w:rPr>
          <w:b/>
          <w:bCs/>
          <w:color w:val="1F3864"/>
          <w:sz w:val="21"/>
          <w:szCs w:val="21"/>
        </w:rPr>
        <w:t>Summary of Findings</w:t>
      </w:r>
    </w:p>
    <w:tbl>
      <w:tblPr>
        <w:tblStyle w:val="9"/>
        <w:tblW w:w="93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6"/>
        <w:gridCol w:w="2611"/>
        <w:gridCol w:w="2611"/>
        <w:gridCol w:w="2510"/>
      </w:tblGrid>
      <w:tr w14:paraId="77C2BBAA">
        <w:tblPrEx>
          <w:tblCellMar>
            <w:top w:w="0" w:type="dxa"/>
            <w:left w:w="10" w:type="dxa"/>
            <w:bottom w:w="0" w:type="dxa"/>
            <w:right w:w="10" w:type="dxa"/>
          </w:tblCellMar>
        </w:tblPrEx>
        <w:trPr>
          <w:trHeight w:val="456" w:hRule="atLeast"/>
          <w:tblHeader/>
        </w:trPr>
        <w:tc>
          <w:tcPr>
            <w:tcW w:w="1606" w:type="dxa"/>
            <w:shd w:val="clear" w:color="auto" w:fill="1F3864"/>
            <w:tcMar>
              <w:top w:w="80" w:type="dxa"/>
              <w:left w:w="100" w:type="dxa"/>
              <w:bottom w:w="80" w:type="dxa"/>
              <w:right w:w="100" w:type="dxa"/>
            </w:tcMar>
          </w:tcPr>
          <w:p w14:paraId="3CC40C0D">
            <w:pPr>
              <w:jc w:val="center"/>
            </w:pPr>
            <w:r>
              <w:rPr>
                <w:b/>
                <w:bCs/>
                <w:color w:val="FFFFFF"/>
                <w:sz w:val="19"/>
                <w:szCs w:val="19"/>
              </w:rPr>
              <w:t>Problem</w:t>
            </w:r>
          </w:p>
        </w:tc>
        <w:tc>
          <w:tcPr>
            <w:tcW w:w="2611" w:type="dxa"/>
            <w:shd w:val="clear" w:color="auto" w:fill="1F3864"/>
            <w:tcMar>
              <w:top w:w="80" w:type="dxa"/>
              <w:left w:w="100" w:type="dxa"/>
              <w:bottom w:w="80" w:type="dxa"/>
              <w:right w:w="100" w:type="dxa"/>
            </w:tcMar>
          </w:tcPr>
          <w:p w14:paraId="1633D3CA">
            <w:pPr>
              <w:jc w:val="center"/>
            </w:pPr>
            <w:r>
              <w:rPr>
                <w:b/>
                <w:bCs/>
                <w:color w:val="FFFFFF"/>
                <w:sz w:val="19"/>
                <w:szCs w:val="19"/>
              </w:rPr>
              <w:t>Key Finding</w:t>
            </w:r>
          </w:p>
        </w:tc>
        <w:tc>
          <w:tcPr>
            <w:tcW w:w="2611" w:type="dxa"/>
            <w:shd w:val="clear" w:color="auto" w:fill="1F3864"/>
            <w:tcMar>
              <w:top w:w="80" w:type="dxa"/>
              <w:left w:w="100" w:type="dxa"/>
              <w:bottom w:w="80" w:type="dxa"/>
              <w:right w:w="100" w:type="dxa"/>
            </w:tcMar>
          </w:tcPr>
          <w:p w14:paraId="1A59CF87">
            <w:pPr>
              <w:jc w:val="center"/>
            </w:pPr>
            <w:r>
              <w:rPr>
                <w:b/>
                <w:bCs/>
                <w:color w:val="FFFFFF"/>
                <w:sz w:val="19"/>
                <w:szCs w:val="19"/>
              </w:rPr>
              <w:t>Identified Driver</w:t>
            </w:r>
          </w:p>
        </w:tc>
        <w:tc>
          <w:tcPr>
            <w:tcW w:w="2510" w:type="dxa"/>
            <w:shd w:val="clear" w:color="auto" w:fill="1F3864"/>
            <w:tcMar>
              <w:top w:w="80" w:type="dxa"/>
              <w:left w:w="100" w:type="dxa"/>
              <w:bottom w:w="80" w:type="dxa"/>
              <w:right w:w="100" w:type="dxa"/>
            </w:tcMar>
          </w:tcPr>
          <w:p w14:paraId="5D2AADA4">
            <w:pPr>
              <w:jc w:val="center"/>
            </w:pPr>
            <w:r>
              <w:rPr>
                <w:b/>
                <w:bCs/>
                <w:color w:val="FFFFFF"/>
                <w:sz w:val="19"/>
                <w:szCs w:val="19"/>
              </w:rPr>
              <w:t>Recommended Action</w:t>
            </w:r>
          </w:p>
        </w:tc>
      </w:tr>
      <w:tr w14:paraId="086F3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777" w:hRule="atLeast"/>
        </w:trPr>
        <w:tc>
          <w:tcPr>
            <w:tcW w:w="1606" w:type="dxa"/>
            <w:tcMar>
              <w:top w:w="80" w:type="dxa"/>
              <w:left w:w="100" w:type="dxa"/>
              <w:bottom w:w="80" w:type="dxa"/>
              <w:right w:w="100" w:type="dxa"/>
            </w:tcMar>
          </w:tcPr>
          <w:p w14:paraId="2F274EEF">
            <w:pPr>
              <w:jc w:val="left"/>
            </w:pPr>
            <w:r>
              <w:rPr>
                <w:b w:val="0"/>
                <w:bCs w:val="0"/>
                <w:color w:val="000000"/>
                <w:sz w:val="19"/>
                <w:szCs w:val="19"/>
              </w:rPr>
              <w:t>1. Profitability Crisis</w:t>
            </w:r>
          </w:p>
        </w:tc>
        <w:tc>
          <w:tcPr>
            <w:tcW w:w="2611" w:type="dxa"/>
            <w:tcMar>
              <w:top w:w="80" w:type="dxa"/>
              <w:left w:w="100" w:type="dxa"/>
              <w:bottom w:w="80" w:type="dxa"/>
              <w:right w:w="100" w:type="dxa"/>
            </w:tcMar>
          </w:tcPr>
          <w:p w14:paraId="269D53E3">
            <w:pPr>
              <w:jc w:val="left"/>
            </w:pPr>
            <w:r>
              <w:rPr>
                <w:b w:val="0"/>
                <w:bCs w:val="0"/>
                <w:color w:val="000000"/>
                <w:sz w:val="19"/>
                <w:szCs w:val="19"/>
              </w:rPr>
              <w:t>36.36% of line items are loss-making despite an overall base margin gap of only ~6 points between profitable and loss-making items</w:t>
            </w:r>
          </w:p>
        </w:tc>
        <w:tc>
          <w:tcPr>
            <w:tcW w:w="2611" w:type="dxa"/>
            <w:tcMar>
              <w:top w:w="80" w:type="dxa"/>
              <w:left w:w="100" w:type="dxa"/>
              <w:bottom w:w="80" w:type="dxa"/>
              <w:right w:w="100" w:type="dxa"/>
            </w:tcMar>
          </w:tcPr>
          <w:p w14:paraId="16767B10">
            <w:pPr>
              <w:jc w:val="left"/>
            </w:pPr>
            <w:r>
              <w:rPr>
                <w:b w:val="0"/>
                <w:bCs w:val="0"/>
                <w:color w:val="000000"/>
                <w:sz w:val="19"/>
                <w:szCs w:val="19"/>
              </w:rPr>
              <w:t>Discount depth (avg. 30.29% on loss-making items vs. 14.98% on profitable items) is the dominant factor; Electronics and Grocery also carry thinner base margins</w:t>
            </w:r>
          </w:p>
        </w:tc>
        <w:tc>
          <w:tcPr>
            <w:tcW w:w="2510" w:type="dxa"/>
            <w:tcMar>
              <w:top w:w="80" w:type="dxa"/>
              <w:left w:w="100" w:type="dxa"/>
              <w:bottom w:w="80" w:type="dxa"/>
              <w:right w:w="100" w:type="dxa"/>
            </w:tcMar>
          </w:tcPr>
          <w:p w14:paraId="60999487">
            <w:pPr>
              <w:jc w:val="left"/>
            </w:pPr>
            <w:r>
              <w:rPr>
                <w:b w:val="0"/>
                <w:bCs w:val="0"/>
                <w:color w:val="000000"/>
                <w:sz w:val="19"/>
                <w:szCs w:val="19"/>
              </w:rPr>
              <w:t>Introduce margin-aware discount limits; set category-specific discount ceilings</w:t>
            </w:r>
          </w:p>
        </w:tc>
      </w:tr>
      <w:tr w14:paraId="578C3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49" w:hRule="atLeast"/>
        </w:trPr>
        <w:tc>
          <w:tcPr>
            <w:tcW w:w="1606" w:type="dxa"/>
            <w:shd w:val="clear" w:color="auto" w:fill="F2F2F2"/>
            <w:tcMar>
              <w:top w:w="80" w:type="dxa"/>
              <w:left w:w="100" w:type="dxa"/>
              <w:bottom w:w="80" w:type="dxa"/>
              <w:right w:w="100" w:type="dxa"/>
            </w:tcMar>
          </w:tcPr>
          <w:p w14:paraId="49500F55">
            <w:pPr>
              <w:jc w:val="left"/>
            </w:pPr>
            <w:r>
              <w:rPr>
                <w:b w:val="0"/>
                <w:bCs w:val="0"/>
                <w:color w:val="000000"/>
                <w:sz w:val="19"/>
                <w:szCs w:val="19"/>
              </w:rPr>
              <w:t>2. Q4/October Collapse</w:t>
            </w:r>
          </w:p>
        </w:tc>
        <w:tc>
          <w:tcPr>
            <w:tcW w:w="2611" w:type="dxa"/>
            <w:shd w:val="clear" w:color="auto" w:fill="F2F2F2"/>
            <w:tcMar>
              <w:top w:w="80" w:type="dxa"/>
              <w:left w:w="100" w:type="dxa"/>
              <w:bottom w:w="80" w:type="dxa"/>
              <w:right w:w="100" w:type="dxa"/>
            </w:tcMar>
          </w:tcPr>
          <w:p w14:paraId="5392265B">
            <w:pPr>
              <w:jc w:val="left"/>
            </w:pPr>
            <w:r>
              <w:rPr>
                <w:b w:val="0"/>
                <w:bCs w:val="0"/>
                <w:color w:val="000000"/>
                <w:sz w:val="19"/>
                <w:szCs w:val="19"/>
              </w:rPr>
              <w:t>October records a -12.03% margin and 76.48% loss-item share vs. single-digit loss shares in most other months</w:t>
            </w:r>
          </w:p>
        </w:tc>
        <w:tc>
          <w:tcPr>
            <w:tcW w:w="2611" w:type="dxa"/>
            <w:shd w:val="clear" w:color="auto" w:fill="F2F2F2"/>
            <w:tcMar>
              <w:top w:w="80" w:type="dxa"/>
              <w:left w:w="100" w:type="dxa"/>
              <w:bottom w:w="80" w:type="dxa"/>
              <w:right w:w="100" w:type="dxa"/>
            </w:tcMar>
          </w:tcPr>
          <w:p w14:paraId="155E5BF1">
            <w:pPr>
              <w:jc w:val="left"/>
            </w:pPr>
            <w:r>
              <w:rPr>
                <w:b w:val="0"/>
                <w:bCs w:val="0"/>
                <w:color w:val="000000"/>
                <w:sz w:val="19"/>
                <w:szCs w:val="19"/>
              </w:rPr>
              <w:t>A near-universal discount spike (~31% avg.) across all 8 categories in October, worsening from 2024 to 2025</w:t>
            </w:r>
          </w:p>
        </w:tc>
        <w:tc>
          <w:tcPr>
            <w:tcW w:w="2510" w:type="dxa"/>
            <w:shd w:val="clear" w:color="auto" w:fill="F2F2F2"/>
            <w:tcMar>
              <w:top w:w="80" w:type="dxa"/>
              <w:left w:w="100" w:type="dxa"/>
              <w:bottom w:w="80" w:type="dxa"/>
              <w:right w:w="100" w:type="dxa"/>
            </w:tcMar>
          </w:tcPr>
          <w:p w14:paraId="52D42DA3">
            <w:pPr>
              <w:jc w:val="left"/>
            </w:pPr>
            <w:r>
              <w:rPr>
                <w:b w:val="0"/>
                <w:bCs w:val="0"/>
                <w:color w:val="000000"/>
                <w:sz w:val="19"/>
                <w:szCs w:val="19"/>
              </w:rPr>
              <w:t>Cap festive discounts by category; require minimum contribution margin before promotional approval</w:t>
            </w:r>
          </w:p>
        </w:tc>
      </w:tr>
      <w:tr w14:paraId="42659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777" w:hRule="atLeast"/>
        </w:trPr>
        <w:tc>
          <w:tcPr>
            <w:tcW w:w="1606" w:type="dxa"/>
            <w:tcMar>
              <w:top w:w="80" w:type="dxa"/>
              <w:left w:w="100" w:type="dxa"/>
              <w:bottom w:w="80" w:type="dxa"/>
              <w:right w:w="100" w:type="dxa"/>
            </w:tcMar>
          </w:tcPr>
          <w:p w14:paraId="36E40363">
            <w:pPr>
              <w:jc w:val="left"/>
            </w:pPr>
            <w:r>
              <w:rPr>
                <w:b w:val="0"/>
                <w:bCs w:val="0"/>
                <w:color w:val="000000"/>
                <w:sz w:val="19"/>
                <w:szCs w:val="19"/>
              </w:rPr>
              <w:t>3. Customer Behaviour</w:t>
            </w:r>
          </w:p>
        </w:tc>
        <w:tc>
          <w:tcPr>
            <w:tcW w:w="2611" w:type="dxa"/>
            <w:tcMar>
              <w:top w:w="80" w:type="dxa"/>
              <w:left w:w="100" w:type="dxa"/>
              <w:bottom w:w="80" w:type="dxa"/>
              <w:right w:w="100" w:type="dxa"/>
            </w:tcMar>
          </w:tcPr>
          <w:p w14:paraId="5250DE56">
            <w:pPr>
              <w:jc w:val="left"/>
            </w:pPr>
            <w:r>
              <w:rPr>
                <w:b w:val="0"/>
                <w:bCs w:val="0"/>
                <w:color w:val="000000"/>
                <w:sz w:val="19"/>
                <w:szCs w:val="19"/>
              </w:rPr>
              <w:t>61.5% of customers order once; VIP customers show the lowest segment margin (1.58%) despite the lowest average discount (20.11%)</w:t>
            </w:r>
          </w:p>
        </w:tc>
        <w:tc>
          <w:tcPr>
            <w:tcW w:w="2611" w:type="dxa"/>
            <w:tcMar>
              <w:top w:w="80" w:type="dxa"/>
              <w:left w:w="100" w:type="dxa"/>
              <w:bottom w:w="80" w:type="dxa"/>
              <w:right w:w="100" w:type="dxa"/>
            </w:tcMar>
          </w:tcPr>
          <w:p w14:paraId="1DDC310D">
            <w:pPr>
              <w:jc w:val="left"/>
            </w:pPr>
            <w:r>
              <w:rPr>
                <w:rFonts w:hint="default" w:ascii="Times New Roman" w:hAnsi="Times New Roman" w:eastAsia="SimSun" w:cs="Times New Roman"/>
                <w:sz w:val="18"/>
                <w:szCs w:val="18"/>
              </w:rPr>
              <w:t>VIP customers' spend is concentrated in Electronics (66.45% of VIP revenue); October-acquired customers show a 64.06% one-time rate vs. 51.44% for other months</w:t>
            </w:r>
          </w:p>
        </w:tc>
        <w:tc>
          <w:tcPr>
            <w:tcW w:w="2510" w:type="dxa"/>
            <w:tcMar>
              <w:top w:w="80" w:type="dxa"/>
              <w:left w:w="100" w:type="dxa"/>
              <w:bottom w:w="80" w:type="dxa"/>
              <w:right w:w="100" w:type="dxa"/>
            </w:tcMar>
          </w:tcPr>
          <w:p w14:paraId="52A8B154">
            <w:pPr>
              <w:jc w:val="left"/>
            </w:pPr>
            <w:r>
              <w:rPr>
                <w:b w:val="0"/>
                <w:bCs w:val="0"/>
                <w:color w:val="000000"/>
                <w:sz w:val="19"/>
                <w:szCs w:val="19"/>
              </w:rPr>
              <w:t>Category-aware VIP offers; targeted retention outreach for October-acquired cohorts</w:t>
            </w:r>
          </w:p>
        </w:tc>
      </w:tr>
      <w:tr w14:paraId="60063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513" w:hRule="atLeast"/>
        </w:trPr>
        <w:tc>
          <w:tcPr>
            <w:tcW w:w="1606" w:type="dxa"/>
            <w:shd w:val="clear" w:color="auto" w:fill="F2F2F2"/>
            <w:tcMar>
              <w:top w:w="80" w:type="dxa"/>
              <w:left w:w="100" w:type="dxa"/>
              <w:bottom w:w="80" w:type="dxa"/>
              <w:right w:w="100" w:type="dxa"/>
            </w:tcMar>
          </w:tcPr>
          <w:p w14:paraId="2F3345D6">
            <w:pPr>
              <w:jc w:val="left"/>
            </w:pPr>
            <w:r>
              <w:rPr>
                <w:b w:val="0"/>
                <w:bCs w:val="0"/>
                <w:color w:val="000000"/>
                <w:sz w:val="19"/>
                <w:szCs w:val="19"/>
              </w:rPr>
              <w:t>4. Late Delivery</w:t>
            </w:r>
          </w:p>
        </w:tc>
        <w:tc>
          <w:tcPr>
            <w:tcW w:w="2611" w:type="dxa"/>
            <w:shd w:val="clear" w:color="auto" w:fill="F2F2F2"/>
            <w:tcMar>
              <w:top w:w="80" w:type="dxa"/>
              <w:left w:w="100" w:type="dxa"/>
              <w:bottom w:w="80" w:type="dxa"/>
              <w:right w:w="100" w:type="dxa"/>
            </w:tcMar>
          </w:tcPr>
          <w:p w14:paraId="17242827">
            <w:pPr>
              <w:jc w:val="left"/>
            </w:pPr>
            <w:r>
              <w:rPr>
                <w:b w:val="0"/>
                <w:bCs w:val="0"/>
                <w:color w:val="000000"/>
                <w:sz w:val="19"/>
                <w:szCs w:val="19"/>
              </w:rPr>
              <w:t>61.20% of orders are late, with late rates in a narrow 54.45%-65.58% band across all states and 59.62%-64.30% across major sellers</w:t>
            </w:r>
          </w:p>
        </w:tc>
        <w:tc>
          <w:tcPr>
            <w:tcW w:w="2611" w:type="dxa"/>
            <w:shd w:val="clear" w:color="auto" w:fill="F2F2F2"/>
            <w:tcMar>
              <w:top w:w="80" w:type="dxa"/>
              <w:left w:w="100" w:type="dxa"/>
              <w:bottom w:w="80" w:type="dxa"/>
              <w:right w:w="100" w:type="dxa"/>
            </w:tcMar>
          </w:tcPr>
          <w:p w14:paraId="7B6BA4D5">
            <w:pPr>
              <w:jc w:val="left"/>
            </w:pPr>
            <w:r>
              <w:rPr>
                <w:b w:val="0"/>
                <w:bCs w:val="0"/>
                <w:color w:val="000000"/>
                <w:sz w:val="19"/>
                <w:szCs w:val="19"/>
              </w:rPr>
              <w:t>No state, seller, or category concentration identified — the issue appears systemic</w:t>
            </w:r>
          </w:p>
        </w:tc>
        <w:tc>
          <w:tcPr>
            <w:tcW w:w="2510" w:type="dxa"/>
            <w:shd w:val="clear" w:color="auto" w:fill="F2F2F2"/>
            <w:tcMar>
              <w:top w:w="80" w:type="dxa"/>
              <w:left w:w="100" w:type="dxa"/>
              <w:bottom w:w="80" w:type="dxa"/>
              <w:right w:w="100" w:type="dxa"/>
            </w:tcMar>
          </w:tcPr>
          <w:p w14:paraId="01549C66">
            <w:pPr>
              <w:jc w:val="left"/>
            </w:pPr>
            <w:r>
              <w:rPr>
                <w:b w:val="0"/>
                <w:bCs w:val="0"/>
                <w:color w:val="000000"/>
                <w:sz w:val="19"/>
                <w:szCs w:val="19"/>
              </w:rPr>
              <w:t>Investigate fulfillment/SLA and logistics-partner data (not present in current dataset)</w:t>
            </w:r>
          </w:p>
        </w:tc>
      </w:tr>
      <w:tr w14:paraId="00CE4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525" w:hRule="atLeast"/>
        </w:trPr>
        <w:tc>
          <w:tcPr>
            <w:tcW w:w="1606" w:type="dxa"/>
            <w:tcMar>
              <w:top w:w="80" w:type="dxa"/>
              <w:left w:w="100" w:type="dxa"/>
              <w:bottom w:w="80" w:type="dxa"/>
              <w:right w:w="100" w:type="dxa"/>
            </w:tcMar>
          </w:tcPr>
          <w:p w14:paraId="4CC011DD">
            <w:pPr>
              <w:jc w:val="left"/>
            </w:pPr>
            <w:r>
              <w:rPr>
                <w:b w:val="0"/>
                <w:bCs w:val="0"/>
                <w:color w:val="000000"/>
                <w:sz w:val="19"/>
                <w:szCs w:val="19"/>
              </w:rPr>
              <w:t>5. Seller/Regional Leakage (MH &amp; TN)</w:t>
            </w:r>
          </w:p>
        </w:tc>
        <w:tc>
          <w:tcPr>
            <w:tcW w:w="2611" w:type="dxa"/>
            <w:tcMar>
              <w:top w:w="80" w:type="dxa"/>
              <w:left w:w="100" w:type="dxa"/>
              <w:bottom w:w="80" w:type="dxa"/>
              <w:right w:w="100" w:type="dxa"/>
            </w:tcMar>
          </w:tcPr>
          <w:p w14:paraId="7A7F1F76">
            <w:pPr>
              <w:jc w:val="left"/>
            </w:pPr>
            <w:r>
              <w:rPr>
                <w:b w:val="0"/>
                <w:bCs w:val="0"/>
                <w:color w:val="000000"/>
                <w:sz w:val="19"/>
                <w:szCs w:val="19"/>
              </w:rPr>
              <w:t>Both states show October margins near -15%, while Electronics is the only category with a full-year negative margin in both</w:t>
            </w:r>
          </w:p>
        </w:tc>
        <w:tc>
          <w:tcPr>
            <w:tcW w:w="2611" w:type="dxa"/>
            <w:tcMar>
              <w:top w:w="80" w:type="dxa"/>
              <w:left w:w="100" w:type="dxa"/>
              <w:bottom w:w="80" w:type="dxa"/>
              <w:right w:w="100" w:type="dxa"/>
            </w:tcMar>
          </w:tcPr>
          <w:p w14:paraId="12A422AD">
            <w:pPr>
              <w:jc w:val="left"/>
            </w:pPr>
            <w:r>
              <w:rPr>
                <w:b w:val="0"/>
                <w:bCs w:val="0"/>
                <w:color w:val="000000"/>
                <w:sz w:val="19"/>
                <w:szCs w:val="19"/>
              </w:rPr>
              <w:t>Same discount + Electronics/Grocery pattern as Problems 1 and 2, replicated at the state level; losses are not concentrated in one seller tier</w:t>
            </w:r>
          </w:p>
        </w:tc>
        <w:tc>
          <w:tcPr>
            <w:tcW w:w="2510" w:type="dxa"/>
            <w:tcMar>
              <w:top w:w="80" w:type="dxa"/>
              <w:left w:w="100" w:type="dxa"/>
              <w:bottom w:w="80" w:type="dxa"/>
              <w:right w:w="100" w:type="dxa"/>
            </w:tcMar>
          </w:tcPr>
          <w:p w14:paraId="4DF1793A">
            <w:pPr>
              <w:jc w:val="left"/>
            </w:pPr>
            <w:r>
              <w:rPr>
                <w:b w:val="0"/>
                <w:bCs w:val="0"/>
                <w:color w:val="000000"/>
                <w:sz w:val="19"/>
                <w:szCs w:val="19"/>
              </w:rPr>
              <w:t>Seller-level profitability monitoring; review specific persistent loss-making sellers identified in the analysis</w:t>
            </w:r>
          </w:p>
        </w:tc>
      </w:tr>
    </w:tbl>
    <w:p w14:paraId="79D7630A">
      <w:r>
        <w:br w:type="page"/>
      </w:r>
    </w:p>
    <w:p w14:paraId="2494228C">
      <w:pPr>
        <w:pStyle w:val="2"/>
        <w:pBdr>
          <w:bottom w:val="single" w:color="1F3864" w:sz="6" w:space="4"/>
        </w:pBdr>
        <w:spacing w:before="400" w:after="200"/>
      </w:pPr>
      <w:r>
        <w:rPr>
          <w:b/>
          <w:bCs/>
          <w:color w:val="1F3864"/>
          <w:sz w:val="30"/>
          <w:szCs w:val="30"/>
        </w:rPr>
        <w:t>2. How the Diagnostic Analysis Was Conducted</w:t>
      </w:r>
    </w:p>
    <w:p w14:paraId="45605573">
      <w:pPr>
        <w:spacing w:after="150" w:line="276" w:lineRule="auto"/>
      </w:pPr>
      <w:r>
        <w:rPr>
          <w:sz w:val="21"/>
          <w:szCs w:val="21"/>
        </w:rPr>
        <w:t>The diagnostic phase followed a structured, hypothesis-driven approach rather than an exhaustive review of every metric in the dataset. The objective was to investigate the most significant anomalies already surfaced in Report 1, not to re-analyze the business end-to-end.</w:t>
      </w:r>
    </w:p>
    <w:p w14:paraId="02735EB7">
      <w:pPr>
        <w:spacing w:after="150" w:line="276" w:lineRule="auto"/>
      </w:pPr>
      <w:r>
        <w:rPr>
          <w:sz w:val="21"/>
          <w:szCs w:val="21"/>
        </w:rPr>
        <w:t>The analytical flow followed for each problem was:</w:t>
      </w:r>
    </w:p>
    <w:p w14:paraId="4A5C851D">
      <w:pPr>
        <w:spacing w:before="150" w:after="150"/>
        <w:jc w:val="center"/>
      </w:pPr>
      <w:r>
        <w:rPr>
          <w:i/>
          <w:iCs/>
          <w:color w:val="1F3864"/>
          <w:sz w:val="20"/>
          <w:szCs w:val="20"/>
        </w:rPr>
        <w:t>Descriptive SQL Analysis  →  Identify Abnormal Patterns  →  Select Key Problems  →
Diagnostic SQL Comparisons  →  Compare Relevant Dimensions  →  Identify Data-Supported Drivers  →  Business Recommendations</w:t>
      </w:r>
    </w:p>
    <w:p w14:paraId="4ED52BFE">
      <w:pPr>
        <w:spacing w:after="150" w:line="276" w:lineRule="auto"/>
      </w:pPr>
      <w:r>
        <w:rPr>
          <w:sz w:val="21"/>
          <w:szCs w:val="21"/>
        </w:rPr>
        <w:t>For each of the five problems, the investigation began with an observed anomaly from Report 1 (e.g., a negative-margin category, a loss-making month, a low-margin customer segment), formed a small set of plausible explanations, and tested each explanation against a targeted SQL comparison — typically contrasting a "problem" group against a "normal" group on discount, base margin, category mix, geography, or time.</w:t>
      </w:r>
    </w:p>
    <w:p w14:paraId="5271B273">
      <w:pPr>
        <w:spacing w:before="100" w:after="150"/>
      </w:pPr>
      <w:r>
        <w:rPr>
          <w:i/>
          <w:iCs/>
          <w:color w:val="595959"/>
          <w:sz w:val="19"/>
          <w:szCs w:val="19"/>
        </w:rPr>
        <w:t>The underlying diagnostic queries are observational comparisons of historical data, not controlled experiments. Findings in this report are therefore described as patterns the data supports or is associated with, rather than as proven causation.</w:t>
      </w:r>
    </w:p>
    <w:p w14:paraId="64BE8299">
      <w:r>
        <w:br w:type="page"/>
      </w:r>
    </w:p>
    <w:p w14:paraId="5061C58D">
      <w:pPr>
        <w:pStyle w:val="2"/>
        <w:pBdr>
          <w:bottom w:val="single" w:color="1F3864" w:sz="6" w:space="4"/>
        </w:pBdr>
        <w:spacing w:before="400" w:after="200"/>
      </w:pPr>
      <w:r>
        <w:rPr>
          <w:b/>
          <w:bCs/>
          <w:color w:val="1F3864"/>
          <w:sz w:val="30"/>
          <w:szCs w:val="30"/>
        </w:rPr>
        <w:t>3. Problem 1 — Profitability Crisis</w:t>
      </w:r>
    </w:p>
    <w:p w14:paraId="6D81FB69">
      <w:pPr>
        <w:pBdr>
          <w:left w:val="single" w:color="1F3864" w:sz="18" w:space="8"/>
        </w:pBdr>
        <w:spacing w:before="150" w:after="150"/>
        <w:ind w:left="300"/>
      </w:pPr>
      <w:r>
        <w:rPr>
          <w:i/>
          <w:iCs/>
          <w:color w:val="1A1A1A"/>
          <w:sz w:val="21"/>
          <w:szCs w:val="21"/>
        </w:rPr>
        <w:t>Why is BharatKart generating ₹87+ Cr in delivered revenue but only a 2.38% profit margin?</w:t>
      </w:r>
    </w:p>
    <w:p w14:paraId="23499171">
      <w:pPr>
        <w:pStyle w:val="3"/>
        <w:spacing w:before="300" w:after="150"/>
      </w:pPr>
      <w:r>
        <w:rPr>
          <w:b/>
          <w:bCs/>
          <w:color w:val="7B241C"/>
          <w:sz w:val="24"/>
          <w:szCs w:val="24"/>
        </w:rPr>
        <w:t>3.1 Problem</w:t>
      </w:r>
    </w:p>
    <w:p w14:paraId="2675E5A2">
      <w:pPr>
        <w:spacing w:after="150" w:line="276" w:lineRule="auto"/>
      </w:pPr>
      <w:r>
        <w:rPr>
          <w:sz w:val="21"/>
          <w:szCs w:val="21"/>
        </w:rPr>
        <w:t>Report 1 showed that Delivered orders generated ₹87,08,87,337.41 in revenue but only ₹2,07,01,496.39 in profit — a 2.38% margin. Underneath this aggregate figure, 36.36% of all order-item line items (57,170 of 157,240 items in the diagnostic dataset) were individually loss-making, contributing a combined -₹4,03,32,054.01, which was substantially offset by the profitable 63.64% of items.</w:t>
      </w:r>
    </w:p>
    <w:p w14:paraId="4B7731A3">
      <w:pPr>
        <w:pStyle w:val="3"/>
        <w:spacing w:before="300" w:after="150"/>
      </w:pPr>
      <w:r>
        <w:rPr>
          <w:b/>
          <w:bCs/>
          <w:color w:val="7B241C"/>
          <w:sz w:val="24"/>
          <w:szCs w:val="24"/>
        </w:rPr>
        <w:t>3.2 What the Diagnostic Analysis Found</w:t>
      </w:r>
    </w:p>
    <w:p w14:paraId="476B0DCA">
      <w:pPr>
        <w:spacing w:after="150" w:line="276" w:lineRule="auto"/>
      </w:pPr>
      <w:r>
        <w:rPr>
          <w:sz w:val="21"/>
          <w:szCs w:val="21"/>
        </w:rPr>
        <w:t>Comparing profitable and loss-making items directly across the full dataset:</w:t>
      </w:r>
    </w:p>
    <w:tbl>
      <w:tblPr>
        <w:tblStyle w:val="9"/>
        <w:tblW w:w="9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600"/>
        <w:gridCol w:w="2400"/>
        <w:gridCol w:w="2900"/>
      </w:tblGrid>
      <w:tr w14:paraId="6F176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3864"/>
            <w:tcMar>
              <w:top w:w="80" w:type="dxa"/>
              <w:left w:w="100" w:type="dxa"/>
              <w:bottom w:w="80" w:type="dxa"/>
              <w:right w:w="100" w:type="dxa"/>
            </w:tcMar>
          </w:tcPr>
          <w:p w14:paraId="0652EDFC">
            <w:pPr>
              <w:jc w:val="center"/>
            </w:pPr>
            <w:r>
              <w:rPr>
                <w:b/>
                <w:bCs/>
                <w:color w:val="FFFFFF"/>
                <w:sz w:val="19"/>
                <w:szCs w:val="19"/>
              </w:rPr>
              <w:t>Item Group</w:t>
            </w:r>
          </w:p>
        </w:tc>
        <w:tc>
          <w:tcPr>
            <w:tcW w:w="1600" w:type="dxa"/>
            <w:shd w:val="clear" w:color="auto" w:fill="1F3864"/>
            <w:tcMar>
              <w:top w:w="80" w:type="dxa"/>
              <w:left w:w="100" w:type="dxa"/>
              <w:bottom w:w="80" w:type="dxa"/>
              <w:right w:w="100" w:type="dxa"/>
            </w:tcMar>
          </w:tcPr>
          <w:p w14:paraId="76B15596">
            <w:pPr>
              <w:jc w:val="center"/>
            </w:pPr>
            <w:r>
              <w:rPr>
                <w:b/>
                <w:bCs/>
                <w:color w:val="FFFFFF"/>
                <w:sz w:val="19"/>
                <w:szCs w:val="19"/>
              </w:rPr>
              <w:t>Items</w:t>
            </w:r>
          </w:p>
        </w:tc>
        <w:tc>
          <w:tcPr>
            <w:tcW w:w="2400" w:type="dxa"/>
            <w:shd w:val="clear" w:color="auto" w:fill="1F3864"/>
            <w:tcMar>
              <w:top w:w="80" w:type="dxa"/>
              <w:left w:w="100" w:type="dxa"/>
              <w:bottom w:w="80" w:type="dxa"/>
              <w:right w:w="100" w:type="dxa"/>
            </w:tcMar>
          </w:tcPr>
          <w:p w14:paraId="539169B9">
            <w:pPr>
              <w:jc w:val="center"/>
            </w:pPr>
            <w:r>
              <w:rPr>
                <w:b/>
                <w:bCs/>
                <w:color w:val="FFFFFF"/>
                <w:sz w:val="19"/>
                <w:szCs w:val="19"/>
              </w:rPr>
              <w:t>Avg. Discount %</w:t>
            </w:r>
          </w:p>
        </w:tc>
        <w:tc>
          <w:tcPr>
            <w:tcW w:w="2900" w:type="dxa"/>
            <w:shd w:val="clear" w:color="auto" w:fill="1F3864"/>
            <w:tcMar>
              <w:top w:w="80" w:type="dxa"/>
              <w:left w:w="100" w:type="dxa"/>
              <w:bottom w:w="80" w:type="dxa"/>
              <w:right w:w="100" w:type="dxa"/>
            </w:tcMar>
          </w:tcPr>
          <w:p w14:paraId="19B4AE3A">
            <w:pPr>
              <w:jc w:val="center"/>
            </w:pPr>
            <w:r>
              <w:rPr>
                <w:b/>
                <w:bCs/>
                <w:color w:val="FFFFFF"/>
                <w:sz w:val="19"/>
                <w:szCs w:val="19"/>
              </w:rPr>
              <w:t>Avg. Base Margin %*</w:t>
            </w:r>
          </w:p>
        </w:tc>
      </w:tr>
      <w:tr w14:paraId="5AF78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1FAE3FD3">
            <w:pPr>
              <w:jc w:val="left"/>
            </w:pPr>
            <w:r>
              <w:rPr>
                <w:b w:val="0"/>
                <w:bCs w:val="0"/>
                <w:color w:val="000000"/>
                <w:sz w:val="19"/>
                <w:szCs w:val="19"/>
              </w:rPr>
              <w:t>Profitable</w:t>
            </w:r>
          </w:p>
        </w:tc>
        <w:tc>
          <w:tcPr>
            <w:tcW w:w="1600" w:type="dxa"/>
            <w:tcMar>
              <w:top w:w="80" w:type="dxa"/>
              <w:left w:w="100" w:type="dxa"/>
              <w:bottom w:w="80" w:type="dxa"/>
              <w:right w:w="100" w:type="dxa"/>
            </w:tcMar>
          </w:tcPr>
          <w:p w14:paraId="7C61E162">
            <w:pPr>
              <w:jc w:val="left"/>
            </w:pPr>
            <w:r>
              <w:rPr>
                <w:b w:val="0"/>
                <w:bCs w:val="0"/>
                <w:color w:val="000000"/>
                <w:sz w:val="19"/>
                <w:szCs w:val="19"/>
              </w:rPr>
              <w:t>100,070</w:t>
            </w:r>
          </w:p>
        </w:tc>
        <w:tc>
          <w:tcPr>
            <w:tcW w:w="2400" w:type="dxa"/>
            <w:tcMar>
              <w:top w:w="80" w:type="dxa"/>
              <w:left w:w="100" w:type="dxa"/>
              <w:bottom w:w="80" w:type="dxa"/>
              <w:right w:w="100" w:type="dxa"/>
            </w:tcMar>
          </w:tcPr>
          <w:p w14:paraId="1BB2AF71">
            <w:pPr>
              <w:jc w:val="left"/>
            </w:pPr>
            <w:r>
              <w:rPr>
                <w:b w:val="0"/>
                <w:bCs w:val="0"/>
                <w:color w:val="000000"/>
                <w:sz w:val="19"/>
                <w:szCs w:val="19"/>
              </w:rPr>
              <w:t>14.98%</w:t>
            </w:r>
          </w:p>
        </w:tc>
        <w:tc>
          <w:tcPr>
            <w:tcW w:w="2900" w:type="dxa"/>
            <w:tcMar>
              <w:top w:w="80" w:type="dxa"/>
              <w:left w:w="100" w:type="dxa"/>
              <w:bottom w:w="80" w:type="dxa"/>
              <w:right w:w="100" w:type="dxa"/>
            </w:tcMar>
          </w:tcPr>
          <w:p w14:paraId="75DCD657">
            <w:pPr>
              <w:jc w:val="left"/>
            </w:pPr>
            <w:r>
              <w:rPr>
                <w:b w:val="0"/>
                <w:bCs w:val="0"/>
                <w:color w:val="000000"/>
                <w:sz w:val="19"/>
                <w:szCs w:val="19"/>
              </w:rPr>
              <w:t>35.76%</w:t>
            </w:r>
          </w:p>
        </w:tc>
      </w:tr>
      <w:tr w14:paraId="27794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80" w:type="dxa"/>
              <w:left w:w="100" w:type="dxa"/>
              <w:bottom w:w="80" w:type="dxa"/>
              <w:right w:w="100" w:type="dxa"/>
            </w:tcMar>
          </w:tcPr>
          <w:p w14:paraId="14672F26">
            <w:pPr>
              <w:jc w:val="left"/>
            </w:pPr>
            <w:r>
              <w:rPr>
                <w:b w:val="0"/>
                <w:bCs w:val="0"/>
                <w:color w:val="000000"/>
                <w:sz w:val="19"/>
                <w:szCs w:val="19"/>
              </w:rPr>
              <w:t>Loss-making</w:t>
            </w:r>
          </w:p>
        </w:tc>
        <w:tc>
          <w:tcPr>
            <w:tcW w:w="1600" w:type="dxa"/>
            <w:shd w:val="clear" w:color="auto" w:fill="F2F2F2"/>
            <w:tcMar>
              <w:top w:w="80" w:type="dxa"/>
              <w:left w:w="100" w:type="dxa"/>
              <w:bottom w:w="80" w:type="dxa"/>
              <w:right w:w="100" w:type="dxa"/>
            </w:tcMar>
          </w:tcPr>
          <w:p w14:paraId="31A8096C">
            <w:pPr>
              <w:jc w:val="left"/>
            </w:pPr>
            <w:r>
              <w:rPr>
                <w:b w:val="0"/>
                <w:bCs w:val="0"/>
                <w:color w:val="000000"/>
                <w:sz w:val="19"/>
                <w:szCs w:val="19"/>
              </w:rPr>
              <w:t>57,170</w:t>
            </w:r>
          </w:p>
        </w:tc>
        <w:tc>
          <w:tcPr>
            <w:tcW w:w="2400" w:type="dxa"/>
            <w:shd w:val="clear" w:color="auto" w:fill="F2F2F2"/>
            <w:tcMar>
              <w:top w:w="80" w:type="dxa"/>
              <w:left w:w="100" w:type="dxa"/>
              <w:bottom w:w="80" w:type="dxa"/>
              <w:right w:w="100" w:type="dxa"/>
            </w:tcMar>
          </w:tcPr>
          <w:p w14:paraId="2D631D1D">
            <w:pPr>
              <w:jc w:val="left"/>
            </w:pPr>
            <w:r>
              <w:rPr>
                <w:b w:val="0"/>
                <w:bCs w:val="0"/>
                <w:color w:val="000000"/>
                <w:sz w:val="19"/>
                <w:szCs w:val="19"/>
              </w:rPr>
              <w:t>30.29%</w:t>
            </w:r>
          </w:p>
        </w:tc>
        <w:tc>
          <w:tcPr>
            <w:tcW w:w="2900" w:type="dxa"/>
            <w:shd w:val="clear" w:color="auto" w:fill="F2F2F2"/>
            <w:tcMar>
              <w:top w:w="80" w:type="dxa"/>
              <w:left w:w="100" w:type="dxa"/>
              <w:bottom w:w="80" w:type="dxa"/>
              <w:right w:w="100" w:type="dxa"/>
            </w:tcMar>
          </w:tcPr>
          <w:p w14:paraId="68DF1DBF">
            <w:pPr>
              <w:jc w:val="left"/>
            </w:pPr>
            <w:r>
              <w:rPr>
                <w:b w:val="0"/>
                <w:bCs w:val="0"/>
                <w:color w:val="000000"/>
                <w:sz w:val="19"/>
                <w:szCs w:val="19"/>
              </w:rPr>
              <w:t>29.32%</w:t>
            </w:r>
          </w:p>
        </w:tc>
      </w:tr>
    </w:tbl>
    <w:p w14:paraId="1BFCA8DC">
      <w:pPr>
        <w:spacing w:before="100" w:after="150"/>
      </w:pPr>
      <w:r>
        <w:rPr>
          <w:i/>
          <w:iCs/>
          <w:color w:val="595959"/>
          <w:sz w:val="19"/>
          <w:szCs w:val="19"/>
        </w:rPr>
        <w:t>*Base margin is calculated as (unit_price − cost_price) / cost_price, i.e. the margin before discount is applied.</w:t>
      </w:r>
    </w:p>
    <w:p w14:paraId="13648CB5">
      <w:pPr>
        <w:spacing w:after="150" w:line="276" w:lineRule="auto"/>
      </w:pPr>
      <w:r>
        <w:rPr>
          <w:sz w:val="21"/>
          <w:szCs w:val="21"/>
        </w:rPr>
        <w:t>The gap in average discount between the two groups (15.31 percentage points) is roughly 2.4 times larger than the gap in base margin (6.44 percentage points). This pattern — a large discount gap alongside a comparatively small base-margin gap — repeats within individual categories:</w:t>
      </w:r>
    </w:p>
    <w:tbl>
      <w:tblPr>
        <w:tblStyle w:val="9"/>
        <w:tblW w:w="9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2200"/>
        <w:gridCol w:w="2900"/>
      </w:tblGrid>
      <w:tr w14:paraId="26E29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3864"/>
            <w:tcMar>
              <w:top w:w="80" w:type="dxa"/>
              <w:left w:w="100" w:type="dxa"/>
              <w:bottom w:w="80" w:type="dxa"/>
              <w:right w:w="100" w:type="dxa"/>
            </w:tcMar>
          </w:tcPr>
          <w:p w14:paraId="4A886C2F">
            <w:pPr>
              <w:jc w:val="center"/>
            </w:pPr>
            <w:r>
              <w:rPr>
                <w:b/>
                <w:bCs/>
                <w:color w:val="FFFFFF"/>
                <w:sz w:val="19"/>
                <w:szCs w:val="19"/>
              </w:rPr>
              <w:t>Category</w:t>
            </w:r>
          </w:p>
        </w:tc>
        <w:tc>
          <w:tcPr>
            <w:tcW w:w="1800" w:type="dxa"/>
            <w:shd w:val="clear" w:color="auto" w:fill="1F3864"/>
            <w:tcMar>
              <w:top w:w="80" w:type="dxa"/>
              <w:left w:w="100" w:type="dxa"/>
              <w:bottom w:w="80" w:type="dxa"/>
              <w:right w:w="100" w:type="dxa"/>
            </w:tcMar>
          </w:tcPr>
          <w:p w14:paraId="7E8CFF02">
            <w:pPr>
              <w:jc w:val="center"/>
            </w:pPr>
            <w:r>
              <w:rPr>
                <w:b/>
                <w:bCs/>
                <w:color w:val="FFFFFF"/>
                <w:sz w:val="19"/>
                <w:szCs w:val="19"/>
              </w:rPr>
              <w:t>Item Group</w:t>
            </w:r>
          </w:p>
        </w:tc>
        <w:tc>
          <w:tcPr>
            <w:tcW w:w="2200" w:type="dxa"/>
            <w:shd w:val="clear" w:color="auto" w:fill="1F3864"/>
            <w:tcMar>
              <w:top w:w="80" w:type="dxa"/>
              <w:left w:w="100" w:type="dxa"/>
              <w:bottom w:w="80" w:type="dxa"/>
              <w:right w:w="100" w:type="dxa"/>
            </w:tcMar>
          </w:tcPr>
          <w:p w14:paraId="7403B79E">
            <w:pPr>
              <w:jc w:val="center"/>
            </w:pPr>
            <w:r>
              <w:rPr>
                <w:b/>
                <w:bCs/>
                <w:color w:val="FFFFFF"/>
                <w:sz w:val="19"/>
                <w:szCs w:val="19"/>
              </w:rPr>
              <w:t>Avg. Discount %</w:t>
            </w:r>
          </w:p>
        </w:tc>
        <w:tc>
          <w:tcPr>
            <w:tcW w:w="2900" w:type="dxa"/>
            <w:shd w:val="clear" w:color="auto" w:fill="1F3864"/>
            <w:tcMar>
              <w:top w:w="80" w:type="dxa"/>
              <w:left w:w="100" w:type="dxa"/>
              <w:bottom w:w="80" w:type="dxa"/>
              <w:right w:w="100" w:type="dxa"/>
            </w:tcMar>
          </w:tcPr>
          <w:p w14:paraId="6C390527">
            <w:pPr>
              <w:jc w:val="center"/>
            </w:pPr>
            <w:r>
              <w:rPr>
                <w:b/>
                <w:bCs/>
                <w:color w:val="FFFFFF"/>
                <w:sz w:val="19"/>
                <w:szCs w:val="19"/>
              </w:rPr>
              <w:t>Avg. Base Margin %</w:t>
            </w:r>
          </w:p>
        </w:tc>
      </w:tr>
      <w:tr w14:paraId="0BB31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5ED3602E">
            <w:pPr>
              <w:jc w:val="left"/>
            </w:pPr>
            <w:r>
              <w:rPr>
                <w:b w:val="0"/>
                <w:bCs w:val="0"/>
                <w:color w:val="000000"/>
                <w:sz w:val="19"/>
                <w:szCs w:val="19"/>
              </w:rPr>
              <w:t>Electronics</w:t>
            </w:r>
          </w:p>
        </w:tc>
        <w:tc>
          <w:tcPr>
            <w:tcW w:w="1800" w:type="dxa"/>
            <w:tcMar>
              <w:top w:w="80" w:type="dxa"/>
              <w:left w:w="100" w:type="dxa"/>
              <w:bottom w:w="80" w:type="dxa"/>
              <w:right w:w="100" w:type="dxa"/>
            </w:tcMar>
          </w:tcPr>
          <w:p w14:paraId="0F40A2E6">
            <w:pPr>
              <w:jc w:val="left"/>
            </w:pPr>
            <w:r>
              <w:rPr>
                <w:b w:val="0"/>
                <w:bCs w:val="0"/>
                <w:color w:val="000000"/>
                <w:sz w:val="19"/>
                <w:szCs w:val="19"/>
              </w:rPr>
              <w:t>Loss-Making</w:t>
            </w:r>
          </w:p>
        </w:tc>
        <w:tc>
          <w:tcPr>
            <w:tcW w:w="2200" w:type="dxa"/>
            <w:tcMar>
              <w:top w:w="80" w:type="dxa"/>
              <w:left w:w="100" w:type="dxa"/>
              <w:bottom w:w="80" w:type="dxa"/>
              <w:right w:w="100" w:type="dxa"/>
            </w:tcMar>
          </w:tcPr>
          <w:p w14:paraId="1DE571DD">
            <w:pPr>
              <w:jc w:val="left"/>
            </w:pPr>
            <w:r>
              <w:rPr>
                <w:b w:val="0"/>
                <w:bCs w:val="0"/>
                <w:color w:val="000000"/>
                <w:sz w:val="19"/>
                <w:szCs w:val="19"/>
              </w:rPr>
              <w:t>24.95%</w:t>
            </w:r>
          </w:p>
        </w:tc>
        <w:tc>
          <w:tcPr>
            <w:tcW w:w="2900" w:type="dxa"/>
            <w:tcMar>
              <w:top w:w="80" w:type="dxa"/>
              <w:left w:w="100" w:type="dxa"/>
              <w:bottom w:w="80" w:type="dxa"/>
              <w:right w:w="100" w:type="dxa"/>
            </w:tcMar>
          </w:tcPr>
          <w:p w14:paraId="16098228">
            <w:pPr>
              <w:jc w:val="left"/>
            </w:pPr>
            <w:r>
              <w:rPr>
                <w:b w:val="0"/>
                <w:bCs w:val="0"/>
                <w:color w:val="000000"/>
                <w:sz w:val="19"/>
                <w:szCs w:val="19"/>
              </w:rPr>
              <w:t>17.57%</w:t>
            </w:r>
          </w:p>
        </w:tc>
      </w:tr>
      <w:tr w14:paraId="15321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80" w:type="dxa"/>
              <w:left w:w="100" w:type="dxa"/>
              <w:bottom w:w="80" w:type="dxa"/>
              <w:right w:w="100" w:type="dxa"/>
            </w:tcMar>
          </w:tcPr>
          <w:p w14:paraId="37329813">
            <w:pPr>
              <w:jc w:val="left"/>
            </w:pPr>
            <w:r>
              <w:rPr>
                <w:b w:val="0"/>
                <w:bCs w:val="0"/>
                <w:color w:val="000000"/>
                <w:sz w:val="19"/>
                <w:szCs w:val="19"/>
              </w:rPr>
              <w:t>Electronics</w:t>
            </w:r>
          </w:p>
        </w:tc>
        <w:tc>
          <w:tcPr>
            <w:tcW w:w="1800" w:type="dxa"/>
            <w:shd w:val="clear" w:color="auto" w:fill="F2F2F2"/>
            <w:tcMar>
              <w:top w:w="80" w:type="dxa"/>
              <w:left w:w="100" w:type="dxa"/>
              <w:bottom w:w="80" w:type="dxa"/>
              <w:right w:w="100" w:type="dxa"/>
            </w:tcMar>
          </w:tcPr>
          <w:p w14:paraId="37212AB8">
            <w:pPr>
              <w:jc w:val="left"/>
            </w:pPr>
            <w:r>
              <w:rPr>
                <w:b w:val="0"/>
                <w:bCs w:val="0"/>
                <w:color w:val="000000"/>
                <w:sz w:val="19"/>
                <w:szCs w:val="19"/>
              </w:rPr>
              <w:t>Profitable</w:t>
            </w:r>
          </w:p>
        </w:tc>
        <w:tc>
          <w:tcPr>
            <w:tcW w:w="2200" w:type="dxa"/>
            <w:shd w:val="clear" w:color="auto" w:fill="F2F2F2"/>
            <w:tcMar>
              <w:top w:w="80" w:type="dxa"/>
              <w:left w:w="100" w:type="dxa"/>
              <w:bottom w:w="80" w:type="dxa"/>
              <w:right w:w="100" w:type="dxa"/>
            </w:tcMar>
          </w:tcPr>
          <w:p w14:paraId="69316A7A">
            <w:pPr>
              <w:jc w:val="left"/>
            </w:pPr>
            <w:r>
              <w:rPr>
                <w:b w:val="0"/>
                <w:bCs w:val="0"/>
                <w:color w:val="000000"/>
                <w:sz w:val="19"/>
                <w:szCs w:val="19"/>
              </w:rPr>
              <w:t>9.72%</w:t>
            </w:r>
          </w:p>
        </w:tc>
        <w:tc>
          <w:tcPr>
            <w:tcW w:w="2900" w:type="dxa"/>
            <w:shd w:val="clear" w:color="auto" w:fill="F2F2F2"/>
            <w:tcMar>
              <w:top w:w="80" w:type="dxa"/>
              <w:left w:w="100" w:type="dxa"/>
              <w:bottom w:w="80" w:type="dxa"/>
              <w:right w:w="100" w:type="dxa"/>
            </w:tcMar>
          </w:tcPr>
          <w:p w14:paraId="144D9E0D">
            <w:pPr>
              <w:jc w:val="left"/>
            </w:pPr>
            <w:r>
              <w:rPr>
                <w:b w:val="0"/>
                <w:bCs w:val="0"/>
                <w:color w:val="000000"/>
                <w:sz w:val="19"/>
                <w:szCs w:val="19"/>
              </w:rPr>
              <w:t>19.82%</w:t>
            </w:r>
          </w:p>
        </w:tc>
      </w:tr>
      <w:tr w14:paraId="49D48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398F98DC">
            <w:pPr>
              <w:jc w:val="left"/>
            </w:pPr>
            <w:r>
              <w:rPr>
                <w:b w:val="0"/>
                <w:bCs w:val="0"/>
                <w:color w:val="000000"/>
                <w:sz w:val="19"/>
                <w:szCs w:val="19"/>
              </w:rPr>
              <w:t>Grocery</w:t>
            </w:r>
          </w:p>
        </w:tc>
        <w:tc>
          <w:tcPr>
            <w:tcW w:w="1800" w:type="dxa"/>
            <w:tcMar>
              <w:top w:w="80" w:type="dxa"/>
              <w:left w:w="100" w:type="dxa"/>
              <w:bottom w:w="80" w:type="dxa"/>
              <w:right w:w="100" w:type="dxa"/>
            </w:tcMar>
          </w:tcPr>
          <w:p w14:paraId="7E3BAF88">
            <w:pPr>
              <w:jc w:val="left"/>
            </w:pPr>
            <w:r>
              <w:rPr>
                <w:b w:val="0"/>
                <w:bCs w:val="0"/>
                <w:color w:val="000000"/>
                <w:sz w:val="19"/>
                <w:szCs w:val="19"/>
              </w:rPr>
              <w:t>Loss-Making</w:t>
            </w:r>
          </w:p>
        </w:tc>
        <w:tc>
          <w:tcPr>
            <w:tcW w:w="2200" w:type="dxa"/>
            <w:tcMar>
              <w:top w:w="80" w:type="dxa"/>
              <w:left w:w="100" w:type="dxa"/>
              <w:bottom w:w="80" w:type="dxa"/>
              <w:right w:w="100" w:type="dxa"/>
            </w:tcMar>
          </w:tcPr>
          <w:p w14:paraId="68C7C8DE">
            <w:pPr>
              <w:jc w:val="left"/>
            </w:pPr>
            <w:r>
              <w:rPr>
                <w:b w:val="0"/>
                <w:bCs w:val="0"/>
                <w:color w:val="000000"/>
                <w:sz w:val="19"/>
                <w:szCs w:val="19"/>
              </w:rPr>
              <w:t>20.06%</w:t>
            </w:r>
          </w:p>
        </w:tc>
        <w:tc>
          <w:tcPr>
            <w:tcW w:w="2900" w:type="dxa"/>
            <w:tcMar>
              <w:top w:w="80" w:type="dxa"/>
              <w:left w:w="100" w:type="dxa"/>
              <w:bottom w:w="80" w:type="dxa"/>
              <w:right w:w="100" w:type="dxa"/>
            </w:tcMar>
          </w:tcPr>
          <w:p w14:paraId="1D1416D6">
            <w:pPr>
              <w:jc w:val="left"/>
            </w:pPr>
            <w:r>
              <w:rPr>
                <w:b w:val="0"/>
                <w:bCs w:val="0"/>
                <w:color w:val="000000"/>
                <w:sz w:val="19"/>
                <w:szCs w:val="19"/>
              </w:rPr>
              <w:t>11.08%</w:t>
            </w:r>
          </w:p>
        </w:tc>
      </w:tr>
      <w:tr w14:paraId="51C12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80" w:type="dxa"/>
              <w:left w:w="100" w:type="dxa"/>
              <w:bottom w:w="80" w:type="dxa"/>
              <w:right w:w="100" w:type="dxa"/>
            </w:tcMar>
          </w:tcPr>
          <w:p w14:paraId="127A0863">
            <w:pPr>
              <w:jc w:val="left"/>
            </w:pPr>
            <w:r>
              <w:rPr>
                <w:b w:val="0"/>
                <w:bCs w:val="0"/>
                <w:color w:val="000000"/>
                <w:sz w:val="19"/>
                <w:szCs w:val="19"/>
              </w:rPr>
              <w:t>Grocery</w:t>
            </w:r>
          </w:p>
        </w:tc>
        <w:tc>
          <w:tcPr>
            <w:tcW w:w="1800" w:type="dxa"/>
            <w:shd w:val="clear" w:color="auto" w:fill="F2F2F2"/>
            <w:tcMar>
              <w:top w:w="80" w:type="dxa"/>
              <w:left w:w="100" w:type="dxa"/>
              <w:bottom w:w="80" w:type="dxa"/>
              <w:right w:w="100" w:type="dxa"/>
            </w:tcMar>
          </w:tcPr>
          <w:p w14:paraId="57CBB540">
            <w:pPr>
              <w:jc w:val="left"/>
            </w:pPr>
            <w:r>
              <w:rPr>
                <w:b w:val="0"/>
                <w:bCs w:val="0"/>
                <w:color w:val="000000"/>
                <w:sz w:val="19"/>
                <w:szCs w:val="19"/>
              </w:rPr>
              <w:t>Profitable</w:t>
            </w:r>
          </w:p>
        </w:tc>
        <w:tc>
          <w:tcPr>
            <w:tcW w:w="2200" w:type="dxa"/>
            <w:shd w:val="clear" w:color="auto" w:fill="F2F2F2"/>
            <w:tcMar>
              <w:top w:w="80" w:type="dxa"/>
              <w:left w:w="100" w:type="dxa"/>
              <w:bottom w:w="80" w:type="dxa"/>
              <w:right w:w="100" w:type="dxa"/>
            </w:tcMar>
          </w:tcPr>
          <w:p w14:paraId="41E5EE55">
            <w:pPr>
              <w:jc w:val="left"/>
            </w:pPr>
            <w:r>
              <w:rPr>
                <w:b w:val="0"/>
                <w:bCs w:val="0"/>
                <w:color w:val="000000"/>
                <w:sz w:val="19"/>
                <w:szCs w:val="19"/>
              </w:rPr>
              <w:t>4.68%</w:t>
            </w:r>
          </w:p>
        </w:tc>
        <w:tc>
          <w:tcPr>
            <w:tcW w:w="2900" w:type="dxa"/>
            <w:shd w:val="clear" w:color="auto" w:fill="F2F2F2"/>
            <w:tcMar>
              <w:top w:w="80" w:type="dxa"/>
              <w:left w:w="100" w:type="dxa"/>
              <w:bottom w:w="80" w:type="dxa"/>
              <w:right w:w="100" w:type="dxa"/>
            </w:tcMar>
          </w:tcPr>
          <w:p w14:paraId="58966907">
            <w:pPr>
              <w:jc w:val="left"/>
            </w:pPr>
            <w:r>
              <w:rPr>
                <w:b w:val="0"/>
                <w:bCs w:val="0"/>
                <w:color w:val="000000"/>
                <w:sz w:val="19"/>
                <w:szCs w:val="19"/>
              </w:rPr>
              <w:t>11.98%</w:t>
            </w:r>
          </w:p>
        </w:tc>
      </w:tr>
      <w:tr w14:paraId="48737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53630F39">
            <w:pPr>
              <w:jc w:val="left"/>
            </w:pPr>
            <w:r>
              <w:rPr>
                <w:b w:val="0"/>
                <w:bCs w:val="0"/>
                <w:color w:val="000000"/>
                <w:sz w:val="19"/>
                <w:szCs w:val="19"/>
              </w:rPr>
              <w:t>Fashion</w:t>
            </w:r>
          </w:p>
        </w:tc>
        <w:tc>
          <w:tcPr>
            <w:tcW w:w="1800" w:type="dxa"/>
            <w:tcMar>
              <w:top w:w="80" w:type="dxa"/>
              <w:left w:w="100" w:type="dxa"/>
              <w:bottom w:w="80" w:type="dxa"/>
              <w:right w:w="100" w:type="dxa"/>
            </w:tcMar>
          </w:tcPr>
          <w:p w14:paraId="0743D57C">
            <w:pPr>
              <w:jc w:val="left"/>
            </w:pPr>
            <w:r>
              <w:rPr>
                <w:b w:val="0"/>
                <w:bCs w:val="0"/>
                <w:color w:val="000000"/>
                <w:sz w:val="19"/>
                <w:szCs w:val="19"/>
              </w:rPr>
              <w:t>Loss-Making</w:t>
            </w:r>
          </w:p>
        </w:tc>
        <w:tc>
          <w:tcPr>
            <w:tcW w:w="2200" w:type="dxa"/>
            <w:tcMar>
              <w:top w:w="80" w:type="dxa"/>
              <w:left w:w="100" w:type="dxa"/>
              <w:bottom w:w="80" w:type="dxa"/>
              <w:right w:w="100" w:type="dxa"/>
            </w:tcMar>
          </w:tcPr>
          <w:p w14:paraId="56470FCB">
            <w:pPr>
              <w:jc w:val="left"/>
            </w:pPr>
            <w:r>
              <w:rPr>
                <w:b w:val="0"/>
                <w:bCs w:val="0"/>
                <w:color w:val="000000"/>
                <w:sz w:val="19"/>
                <w:szCs w:val="19"/>
              </w:rPr>
              <w:t>39.46%</w:t>
            </w:r>
          </w:p>
        </w:tc>
        <w:tc>
          <w:tcPr>
            <w:tcW w:w="2900" w:type="dxa"/>
            <w:tcMar>
              <w:top w:w="80" w:type="dxa"/>
              <w:left w:w="100" w:type="dxa"/>
              <w:bottom w:w="80" w:type="dxa"/>
              <w:right w:w="100" w:type="dxa"/>
            </w:tcMar>
          </w:tcPr>
          <w:p w14:paraId="4C2603BF">
            <w:pPr>
              <w:jc w:val="left"/>
            </w:pPr>
            <w:r>
              <w:rPr>
                <w:b w:val="0"/>
                <w:bCs w:val="0"/>
                <w:color w:val="000000"/>
                <w:sz w:val="19"/>
                <w:szCs w:val="19"/>
              </w:rPr>
              <w:t>46.32%</w:t>
            </w:r>
          </w:p>
        </w:tc>
      </w:tr>
      <w:tr w14:paraId="6858C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80" w:type="dxa"/>
              <w:left w:w="100" w:type="dxa"/>
              <w:bottom w:w="80" w:type="dxa"/>
              <w:right w:w="100" w:type="dxa"/>
            </w:tcMar>
          </w:tcPr>
          <w:p w14:paraId="3DF2895D">
            <w:pPr>
              <w:jc w:val="left"/>
            </w:pPr>
            <w:r>
              <w:rPr>
                <w:b w:val="0"/>
                <w:bCs w:val="0"/>
                <w:color w:val="000000"/>
                <w:sz w:val="19"/>
                <w:szCs w:val="19"/>
              </w:rPr>
              <w:t>Fashion</w:t>
            </w:r>
          </w:p>
        </w:tc>
        <w:tc>
          <w:tcPr>
            <w:tcW w:w="1800" w:type="dxa"/>
            <w:shd w:val="clear" w:color="auto" w:fill="F2F2F2"/>
            <w:tcMar>
              <w:top w:w="80" w:type="dxa"/>
              <w:left w:w="100" w:type="dxa"/>
              <w:bottom w:w="80" w:type="dxa"/>
              <w:right w:w="100" w:type="dxa"/>
            </w:tcMar>
          </w:tcPr>
          <w:p w14:paraId="118CC4F2">
            <w:pPr>
              <w:jc w:val="left"/>
            </w:pPr>
            <w:r>
              <w:rPr>
                <w:b w:val="0"/>
                <w:bCs w:val="0"/>
                <w:color w:val="000000"/>
                <w:sz w:val="19"/>
                <w:szCs w:val="19"/>
              </w:rPr>
              <w:t>Profitable</w:t>
            </w:r>
          </w:p>
        </w:tc>
        <w:tc>
          <w:tcPr>
            <w:tcW w:w="2200" w:type="dxa"/>
            <w:shd w:val="clear" w:color="auto" w:fill="F2F2F2"/>
            <w:tcMar>
              <w:top w:w="80" w:type="dxa"/>
              <w:left w:w="100" w:type="dxa"/>
              <w:bottom w:w="80" w:type="dxa"/>
              <w:right w:w="100" w:type="dxa"/>
            </w:tcMar>
          </w:tcPr>
          <w:p w14:paraId="12F51527">
            <w:pPr>
              <w:jc w:val="left"/>
            </w:pPr>
            <w:r>
              <w:rPr>
                <w:b w:val="0"/>
                <w:bCs w:val="0"/>
                <w:color w:val="000000"/>
                <w:sz w:val="19"/>
                <w:szCs w:val="19"/>
              </w:rPr>
              <w:t>22.07%</w:t>
            </w:r>
          </w:p>
        </w:tc>
        <w:tc>
          <w:tcPr>
            <w:tcW w:w="2900" w:type="dxa"/>
            <w:shd w:val="clear" w:color="auto" w:fill="F2F2F2"/>
            <w:tcMar>
              <w:top w:w="80" w:type="dxa"/>
              <w:left w:w="100" w:type="dxa"/>
              <w:bottom w:w="80" w:type="dxa"/>
              <w:right w:w="100" w:type="dxa"/>
            </w:tcMar>
          </w:tcPr>
          <w:p w14:paraId="40734361">
            <w:pPr>
              <w:jc w:val="left"/>
            </w:pPr>
            <w:r>
              <w:rPr>
                <w:b w:val="0"/>
                <w:bCs w:val="0"/>
                <w:color w:val="000000"/>
                <w:sz w:val="19"/>
                <w:szCs w:val="19"/>
              </w:rPr>
              <w:t>51.36%</w:t>
            </w:r>
          </w:p>
        </w:tc>
      </w:tr>
    </w:tbl>
    <w:p w14:paraId="7031F427">
      <w:pPr>
        <w:spacing w:after="150" w:line="276" w:lineRule="auto"/>
      </w:pPr>
      <w:r>
        <w:rPr>
          <w:sz w:val="21"/>
          <w:szCs w:val="21"/>
        </w:rPr>
        <w:t>In Grocery specifically, the base margin is nearly identical between the two groups (11.08% vs. 11.98%) — the items themselves are priced almost the same way — yet the discount gap (20.06% vs. 4.68%) is large enough to fully explain the shift from profit to loss. Grocery's base margin is also the thinnest of any category shown, leaving very little room to absorb any meaningful discount.</w:t>
      </w:r>
    </w:p>
    <w:p w14:paraId="5A303F7D">
      <w:pPr>
        <w:spacing w:after="150" w:line="276" w:lineRule="auto"/>
      </w:pPr>
      <w:r>
        <w:rPr>
          <w:sz w:val="21"/>
          <w:szCs w:val="21"/>
        </w:rPr>
        <w:t>At the category level, Electronics and Grocery are the only two categories with a negative overall margin (-2.16% and -2.92% respectively) and also carry the highest loss-item shares (52.90% and 51.49%) — both well above the 22.73%-36.01% range seen in the other six categories. Within Electronics, all seven sub-categories (Accessories, Cameras, Headphones, Laptops, Smart Watches, Smartphones, Tablets) individually show loss-item shares in the 51%-56% range, and all six Grocery sub-categories fall in a similar 50%-55% band — indicating the pattern is spread evenly across each category rather than driven by one sub-category.</w:t>
      </w:r>
    </w:p>
    <w:p w14:paraId="0F649B46">
      <w:pPr>
        <w:spacing w:after="150" w:line="276" w:lineRule="auto"/>
      </w:pPr>
      <w:r>
        <w:rPr>
          <w:sz w:val="21"/>
          <w:szCs w:val="21"/>
        </w:rPr>
        <w:t>At the individual product level, the ten largest loss-making products span multiple categories, not only Electronics and Grocery — for example, Basic Men'S Clothing 998 (Fashion) carries a 43.12% average discount and a -₹6,78,387.98 loss despite a high 58.14% base margin, and Advanced Storage 790 / Compact Bedding 979 (Home &amp; Kitchen) show similar high-discount, high-loss patterns. This indicates that where discount depth becomes extreme, losses can occur even in categories with otherwise healthy margins.</w:t>
      </w:r>
    </w:p>
    <w:p w14:paraId="17267EB7">
      <w:pPr>
        <w:spacing w:after="150" w:line="276" w:lineRule="auto"/>
      </w:pPr>
      <w:r>
        <w:rPr>
          <w:sz w:val="21"/>
          <w:szCs w:val="21"/>
        </w:rPr>
        <w:t>Seller-tier analysis within Electronics and Grocery shows discount levels are consistent across High, Medium, and Low tiers (Electronics: 17.19%-17.88%; Grocery: 12.48%-12.81%), and all three tiers post negative profit in both categories — the loss pattern is not concentrated in a particular seller tier.</w:t>
      </w:r>
    </w:p>
    <w:p w14:paraId="00F07C10">
      <w:pPr>
        <w:pStyle w:val="3"/>
        <w:spacing w:before="300" w:after="150"/>
      </w:pPr>
      <w:r>
        <w:rPr>
          <w:b/>
          <w:bCs/>
          <w:color w:val="7B241C"/>
          <w:sz w:val="24"/>
          <w:szCs w:val="24"/>
        </w:rPr>
        <w:t>3.3 Identified Drivers</w:t>
      </w:r>
    </w:p>
    <w:p w14:paraId="45CD1259">
      <w:pPr>
        <w:spacing w:after="150" w:line="276" w:lineRule="auto"/>
      </w:pPr>
      <w:r>
        <w:rPr>
          <w:sz w:val="21"/>
          <w:szCs w:val="21"/>
        </w:rPr>
        <w:t>The diagnostic evidence indicates that discount depth is the primary factor separating profitable items from loss-making ones, both overall and within Electronics and Grocery specifically — the discount gap between the two groups is consistently larger than the base-margin gap. Electronics and Grocery additionally carry thinner base margins than most other categories, which reduces the level of discount they can sustain before turning unprofitable. Together, this suggests low profitability results from a combination of (a) discount levels that are not adjusted for a product's underlying margin, and (b) two categories whose margin structure leaves little tolerance for discounting. The pattern is spread across sub-categories and seller tiers rather than isolated to a small group of products or sellers, though a small set of individual products (Query 1.5) account for disproportionately large individual losses.</w:t>
      </w:r>
    </w:p>
    <w:p w14:paraId="24121106">
      <w:pPr>
        <w:pStyle w:val="3"/>
        <w:spacing w:before="300" w:after="150"/>
      </w:pPr>
      <w:r>
        <w:rPr>
          <w:b/>
          <w:bCs/>
          <w:color w:val="7B241C"/>
          <w:sz w:val="24"/>
          <w:szCs w:val="24"/>
        </w:rPr>
        <w:t>3.4 Recommended Actions</w:t>
      </w:r>
    </w:p>
    <w:p w14:paraId="329018FC">
      <w:pPr>
        <w:pStyle w:val="18"/>
        <w:numPr>
          <w:ilvl w:val="0"/>
          <w:numId w:val="1"/>
        </w:numPr>
        <w:spacing w:after="80" w:line="270" w:lineRule="auto"/>
      </w:pPr>
      <w:r>
        <w:rPr>
          <w:b/>
          <w:bCs/>
          <w:sz w:val="21"/>
          <w:szCs w:val="21"/>
        </w:rPr>
        <w:t xml:space="preserve">Category/product-specific discount limits: </w:t>
      </w:r>
      <w:r>
        <w:rPr>
          <w:sz w:val="21"/>
          <w:szCs w:val="21"/>
        </w:rPr>
        <w:t>cap discount depth for Electronics and Grocery items below the level shown to correlate with loss (roughly above 20-25% in the diagnostic comparisons), rather than applying uniform discount rules across all categories.</w:t>
      </w:r>
    </w:p>
    <w:p w14:paraId="35739474">
      <w:pPr>
        <w:pStyle w:val="18"/>
        <w:numPr>
          <w:ilvl w:val="0"/>
          <w:numId w:val="1"/>
        </w:numPr>
        <w:spacing w:after="80" w:line="270" w:lineRule="auto"/>
      </w:pPr>
      <w:r>
        <w:rPr>
          <w:b/>
          <w:bCs/>
          <w:sz w:val="21"/>
          <w:szCs w:val="21"/>
        </w:rPr>
        <w:t xml:space="preserve">Minimum-margin threshold before discount approval: </w:t>
      </w:r>
      <w:r>
        <w:rPr>
          <w:sz w:val="21"/>
          <w:szCs w:val="21"/>
        </w:rPr>
        <w:t>require that a product's base margin support the intended discount before a promotion is applied, so that discount depth is set relative to margin rather than as a flat percentage.</w:t>
      </w:r>
    </w:p>
    <w:p w14:paraId="11909FC9">
      <w:pPr>
        <w:pStyle w:val="18"/>
        <w:numPr>
          <w:ilvl w:val="0"/>
          <w:numId w:val="1"/>
        </w:numPr>
        <w:spacing w:after="80" w:line="270" w:lineRule="auto"/>
      </w:pPr>
      <w:r>
        <w:rPr>
          <w:b/>
          <w:bCs/>
          <w:sz w:val="21"/>
          <w:szCs w:val="21"/>
        </w:rPr>
        <w:t xml:space="preserve">Monitor loss-making SKUs directly: </w:t>
      </w:r>
      <w:r>
        <w:rPr>
          <w:sz w:val="21"/>
          <w:szCs w:val="21"/>
        </w:rPr>
        <w:t>track products such as those identified in the top-10 loss list (e.g., Signature Accessories 118, Advanced Storage 790, Basic Men'S Clothing 998) on an ongoing basis, since a small number of SKUs account for a disproportionate share of total loss.</w:t>
      </w:r>
    </w:p>
    <w:p w14:paraId="7AD8B3BA">
      <w:pPr>
        <w:pStyle w:val="18"/>
        <w:numPr>
          <w:ilvl w:val="0"/>
          <w:numId w:val="1"/>
        </w:numPr>
        <w:spacing w:after="80" w:line="270" w:lineRule="auto"/>
      </w:pPr>
      <w:r>
        <w:rPr>
          <w:b/>
          <w:bCs/>
          <w:sz w:val="21"/>
          <w:szCs w:val="21"/>
        </w:rPr>
        <w:t xml:space="preserve">Seller-level profitability visibility: </w:t>
      </w:r>
      <w:r>
        <w:rPr>
          <w:sz w:val="21"/>
          <w:szCs w:val="21"/>
        </w:rPr>
        <w:t>since the loss pattern spans all seller tiers within Electronics and Grocery, profitability monitoring should be applied at the individual seller level within these categories rather than assuming tier alone predicts performance.</w:t>
      </w:r>
    </w:p>
    <w:p w14:paraId="748F6001">
      <w:pPr>
        <w:pStyle w:val="18"/>
        <w:numPr>
          <w:ilvl w:val="0"/>
          <w:numId w:val="1"/>
        </w:numPr>
        <w:spacing w:after="80" w:line="270" w:lineRule="auto"/>
      </w:pPr>
      <w:r>
        <w:rPr>
          <w:b/>
          <w:bCs/>
          <w:sz w:val="21"/>
          <w:szCs w:val="21"/>
        </w:rPr>
        <w:t xml:space="preserve">Separate promotional strategy for low-margin categories: </w:t>
      </w:r>
      <w:r>
        <w:rPr>
          <w:sz w:val="21"/>
          <w:szCs w:val="21"/>
        </w:rPr>
        <w:t>Grocery's thin base margin (~11-12%) means its promotional strategy likely needs to differ from higher-margin categories such as Beauty &amp; Personal Care (which sustains a 10.97% overall margin).</w:t>
      </w:r>
    </w:p>
    <w:p w14:paraId="493A39FA">
      <w:pPr>
        <w:pStyle w:val="3"/>
        <w:spacing w:before="300" w:after="150"/>
      </w:pPr>
      <w:r>
        <w:rPr>
          <w:b/>
          <w:bCs/>
          <w:color w:val="7B241C"/>
          <w:sz w:val="24"/>
          <w:szCs w:val="24"/>
        </w:rPr>
        <w:t>3.5 Business Implication</w:t>
      </w:r>
    </w:p>
    <w:p w14:paraId="44ACC72B">
      <w:pPr>
        <w:spacing w:after="150" w:line="276" w:lineRule="auto"/>
      </w:pPr>
      <w:r>
        <w:rPr>
          <w:sz w:val="21"/>
          <w:szCs w:val="21"/>
        </w:rPr>
        <w:t>If discount levels continue to be applied without reference to each category's or product's underlying margin, the current pattern — a large revenue base generating a disproportionately small profit — is likely to persist. Electronics, the single largest revenue category, remaining structurally negative limits how much of BharatKart's overall revenue growth can translate into profit growth.</w:t>
      </w:r>
    </w:p>
    <w:p w14:paraId="6B96AA1D">
      <w:r>
        <w:br w:type="page"/>
      </w:r>
    </w:p>
    <w:p w14:paraId="5A9A0036">
      <w:pPr>
        <w:pStyle w:val="2"/>
        <w:pBdr>
          <w:bottom w:val="single" w:color="1F3864" w:sz="6" w:space="4"/>
        </w:pBdr>
        <w:spacing w:before="400" w:after="200"/>
      </w:pPr>
      <w:r>
        <w:rPr>
          <w:b/>
          <w:bCs/>
          <w:color w:val="1F3864"/>
          <w:sz w:val="30"/>
          <w:szCs w:val="30"/>
        </w:rPr>
        <w:t>4. Problem 2 — Q4 / October Profit Collapse</w:t>
      </w:r>
    </w:p>
    <w:p w14:paraId="3E2A5E50">
      <w:pPr>
        <w:pBdr>
          <w:left w:val="single" w:color="1F3864" w:sz="18" w:space="8"/>
        </w:pBdr>
        <w:spacing w:before="150" w:after="150"/>
        <w:ind w:left="300"/>
      </w:pPr>
      <w:r>
        <w:rPr>
          <w:i/>
          <w:iCs/>
          <w:color w:val="1A1A1A"/>
          <w:sz w:val="21"/>
          <w:szCs w:val="21"/>
        </w:rPr>
        <w:t>Why does revenue peak in Q4/October while profitability collapses?</w:t>
      </w:r>
    </w:p>
    <w:p w14:paraId="59117B27">
      <w:pPr>
        <w:pStyle w:val="3"/>
        <w:spacing w:before="300" w:after="150"/>
      </w:pPr>
      <w:r>
        <w:rPr>
          <w:b/>
          <w:bCs/>
          <w:color w:val="7B241C"/>
          <w:sz w:val="24"/>
          <w:szCs w:val="24"/>
        </w:rPr>
        <w:t>4.1 Problem</w:t>
      </w:r>
    </w:p>
    <w:p w14:paraId="77266FF4">
      <w:pPr>
        <w:spacing w:after="150" w:line="276" w:lineRule="auto"/>
      </w:pPr>
      <w:r>
        <w:rPr>
          <w:sz w:val="21"/>
          <w:szCs w:val="21"/>
        </w:rPr>
        <w:t>Report 1 showed that October was the highest-revenue month in both 2024 and 2025, and simultaneously the month with the largest negative profit in each respective year. Q4 was the only quarter with a negative overall margin (-4.69%), while Q1-Q3 all posted positive margins (4.10%-6.66%). This section investigates what distinguishes October from the rest of the year at the item level.</w:t>
      </w:r>
    </w:p>
    <w:p w14:paraId="6506FD24">
      <w:pPr>
        <w:pStyle w:val="3"/>
        <w:spacing w:before="300" w:after="150"/>
      </w:pPr>
      <w:r>
        <w:rPr>
          <w:b/>
          <w:bCs/>
          <w:color w:val="7B241C"/>
          <w:sz w:val="24"/>
          <w:szCs w:val="24"/>
        </w:rPr>
        <w:t>4.2 What the Diagnostic Analysis Found</w:t>
      </w:r>
    </w:p>
    <w:p w14:paraId="2330F94C">
      <w:pPr>
        <w:spacing w:after="150" w:line="276" w:lineRule="auto"/>
      </w:pPr>
      <w:r>
        <w:rPr>
          <w:sz w:val="21"/>
          <w:szCs w:val="21"/>
        </w:rPr>
        <w:t>The monthly breakdown shows October as a clear outlier on every relevant metric:</w:t>
      </w:r>
    </w:p>
    <w:tbl>
      <w:tblPr>
        <w:tblStyle w:val="9"/>
        <w:tblW w:w="9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2200"/>
        <w:gridCol w:w="2500"/>
      </w:tblGrid>
      <w:tr w14:paraId="39883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3864"/>
            <w:tcMar>
              <w:top w:w="80" w:type="dxa"/>
              <w:left w:w="100" w:type="dxa"/>
              <w:bottom w:w="80" w:type="dxa"/>
              <w:right w:w="100" w:type="dxa"/>
            </w:tcMar>
          </w:tcPr>
          <w:p w14:paraId="734CC615">
            <w:pPr>
              <w:jc w:val="center"/>
            </w:pPr>
            <w:r>
              <w:rPr>
                <w:b/>
                <w:bCs/>
                <w:color w:val="FFFFFF"/>
                <w:sz w:val="19"/>
                <w:szCs w:val="19"/>
              </w:rPr>
              <w:t>Month</w:t>
            </w:r>
          </w:p>
        </w:tc>
        <w:tc>
          <w:tcPr>
            <w:tcW w:w="2200" w:type="dxa"/>
            <w:shd w:val="clear" w:color="auto" w:fill="1F3864"/>
            <w:tcMar>
              <w:top w:w="80" w:type="dxa"/>
              <w:left w:w="100" w:type="dxa"/>
              <w:bottom w:w="80" w:type="dxa"/>
              <w:right w:w="100" w:type="dxa"/>
            </w:tcMar>
          </w:tcPr>
          <w:p w14:paraId="6F666008">
            <w:pPr>
              <w:jc w:val="center"/>
            </w:pPr>
            <w:r>
              <w:rPr>
                <w:b/>
                <w:bCs/>
                <w:color w:val="FFFFFF"/>
                <w:sz w:val="19"/>
                <w:szCs w:val="19"/>
              </w:rPr>
              <w:t>Profit Margin %</w:t>
            </w:r>
          </w:p>
        </w:tc>
        <w:tc>
          <w:tcPr>
            <w:tcW w:w="2200" w:type="dxa"/>
            <w:shd w:val="clear" w:color="auto" w:fill="1F3864"/>
            <w:tcMar>
              <w:top w:w="80" w:type="dxa"/>
              <w:left w:w="100" w:type="dxa"/>
              <w:bottom w:w="80" w:type="dxa"/>
              <w:right w:w="100" w:type="dxa"/>
            </w:tcMar>
          </w:tcPr>
          <w:p w14:paraId="7971B128">
            <w:pPr>
              <w:jc w:val="center"/>
            </w:pPr>
            <w:r>
              <w:rPr>
                <w:b/>
                <w:bCs/>
                <w:color w:val="FFFFFF"/>
                <w:sz w:val="19"/>
                <w:szCs w:val="19"/>
              </w:rPr>
              <w:t>Avg. Discount %</w:t>
            </w:r>
          </w:p>
        </w:tc>
        <w:tc>
          <w:tcPr>
            <w:tcW w:w="2500" w:type="dxa"/>
            <w:shd w:val="clear" w:color="auto" w:fill="1F3864"/>
            <w:tcMar>
              <w:top w:w="80" w:type="dxa"/>
              <w:left w:w="100" w:type="dxa"/>
              <w:bottom w:w="80" w:type="dxa"/>
              <w:right w:w="100" w:type="dxa"/>
            </w:tcMar>
          </w:tcPr>
          <w:p w14:paraId="79EA76C2">
            <w:pPr>
              <w:jc w:val="center"/>
            </w:pPr>
            <w:r>
              <w:rPr>
                <w:b/>
                <w:bCs/>
                <w:color w:val="FFFFFF"/>
                <w:sz w:val="19"/>
                <w:szCs w:val="19"/>
              </w:rPr>
              <w:t>Loss-Item %</w:t>
            </w:r>
          </w:p>
        </w:tc>
      </w:tr>
      <w:tr w14:paraId="45EEC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1A3722D9">
            <w:pPr>
              <w:jc w:val="left"/>
            </w:pPr>
            <w:r>
              <w:rPr>
                <w:b w:val="0"/>
                <w:bCs w:val="0"/>
                <w:color w:val="000000"/>
                <w:sz w:val="19"/>
                <w:szCs w:val="19"/>
              </w:rPr>
              <w:t>February (best)</w:t>
            </w:r>
          </w:p>
        </w:tc>
        <w:tc>
          <w:tcPr>
            <w:tcW w:w="2200" w:type="dxa"/>
            <w:tcMar>
              <w:top w:w="80" w:type="dxa"/>
              <w:left w:w="100" w:type="dxa"/>
              <w:bottom w:w="80" w:type="dxa"/>
              <w:right w:w="100" w:type="dxa"/>
            </w:tcMar>
          </w:tcPr>
          <w:p w14:paraId="55AFA435">
            <w:pPr>
              <w:jc w:val="left"/>
            </w:pPr>
            <w:r>
              <w:rPr>
                <w:b w:val="0"/>
                <w:bCs w:val="0"/>
                <w:color w:val="000000"/>
                <w:sz w:val="19"/>
                <w:szCs w:val="19"/>
              </w:rPr>
              <w:t>10.81%</w:t>
            </w:r>
          </w:p>
        </w:tc>
        <w:tc>
          <w:tcPr>
            <w:tcW w:w="2200" w:type="dxa"/>
            <w:tcMar>
              <w:top w:w="80" w:type="dxa"/>
              <w:left w:w="100" w:type="dxa"/>
              <w:bottom w:w="80" w:type="dxa"/>
              <w:right w:w="100" w:type="dxa"/>
            </w:tcMar>
          </w:tcPr>
          <w:p w14:paraId="33A2C46B">
            <w:pPr>
              <w:jc w:val="left"/>
            </w:pPr>
            <w:r>
              <w:rPr>
                <w:b w:val="0"/>
                <w:bCs w:val="0"/>
                <w:color w:val="000000"/>
                <w:sz w:val="19"/>
                <w:szCs w:val="19"/>
              </w:rPr>
              <w:t>12.84%</w:t>
            </w:r>
          </w:p>
        </w:tc>
        <w:tc>
          <w:tcPr>
            <w:tcW w:w="2500" w:type="dxa"/>
            <w:tcMar>
              <w:top w:w="80" w:type="dxa"/>
              <w:left w:w="100" w:type="dxa"/>
              <w:bottom w:w="80" w:type="dxa"/>
              <w:right w:w="100" w:type="dxa"/>
            </w:tcMar>
          </w:tcPr>
          <w:p w14:paraId="2B46BFAD">
            <w:pPr>
              <w:jc w:val="left"/>
            </w:pPr>
            <w:r>
              <w:rPr>
                <w:b w:val="0"/>
                <w:bCs w:val="0"/>
                <w:color w:val="000000"/>
                <w:sz w:val="19"/>
                <w:szCs w:val="19"/>
              </w:rPr>
              <w:t>4.86%</w:t>
            </w:r>
          </w:p>
        </w:tc>
      </w:tr>
      <w:tr w14:paraId="3337D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80" w:type="dxa"/>
              <w:left w:w="100" w:type="dxa"/>
              <w:bottom w:w="80" w:type="dxa"/>
              <w:right w:w="100" w:type="dxa"/>
            </w:tcMar>
          </w:tcPr>
          <w:p w14:paraId="60988655">
            <w:pPr>
              <w:jc w:val="left"/>
            </w:pPr>
            <w:r>
              <w:rPr>
                <w:b w:val="0"/>
                <w:bCs w:val="0"/>
                <w:color w:val="000000"/>
                <w:sz w:val="19"/>
                <w:szCs w:val="19"/>
              </w:rPr>
              <w:t>July</w:t>
            </w:r>
          </w:p>
        </w:tc>
        <w:tc>
          <w:tcPr>
            <w:tcW w:w="2200" w:type="dxa"/>
            <w:shd w:val="clear" w:color="auto" w:fill="F2F2F2"/>
            <w:tcMar>
              <w:top w:w="80" w:type="dxa"/>
              <w:left w:w="100" w:type="dxa"/>
              <w:bottom w:w="80" w:type="dxa"/>
              <w:right w:w="100" w:type="dxa"/>
            </w:tcMar>
          </w:tcPr>
          <w:p w14:paraId="599A9075">
            <w:pPr>
              <w:jc w:val="left"/>
            </w:pPr>
            <w:r>
              <w:rPr>
                <w:b w:val="0"/>
                <w:bCs w:val="0"/>
                <w:color w:val="000000"/>
                <w:sz w:val="19"/>
                <w:szCs w:val="19"/>
              </w:rPr>
              <w:t>10.84%</w:t>
            </w:r>
          </w:p>
        </w:tc>
        <w:tc>
          <w:tcPr>
            <w:tcW w:w="2200" w:type="dxa"/>
            <w:shd w:val="clear" w:color="auto" w:fill="F2F2F2"/>
            <w:tcMar>
              <w:top w:w="80" w:type="dxa"/>
              <w:left w:w="100" w:type="dxa"/>
              <w:bottom w:w="80" w:type="dxa"/>
              <w:right w:w="100" w:type="dxa"/>
            </w:tcMar>
          </w:tcPr>
          <w:p w14:paraId="54584A73">
            <w:pPr>
              <w:jc w:val="left"/>
            </w:pPr>
            <w:r>
              <w:rPr>
                <w:b w:val="0"/>
                <w:bCs w:val="0"/>
                <w:color w:val="000000"/>
                <w:sz w:val="19"/>
                <w:szCs w:val="19"/>
              </w:rPr>
              <w:t>12.82%</w:t>
            </w:r>
          </w:p>
        </w:tc>
        <w:tc>
          <w:tcPr>
            <w:tcW w:w="2500" w:type="dxa"/>
            <w:shd w:val="clear" w:color="auto" w:fill="F2F2F2"/>
            <w:tcMar>
              <w:top w:w="80" w:type="dxa"/>
              <w:left w:w="100" w:type="dxa"/>
              <w:bottom w:w="80" w:type="dxa"/>
              <w:right w:w="100" w:type="dxa"/>
            </w:tcMar>
          </w:tcPr>
          <w:p w14:paraId="61A4384B">
            <w:pPr>
              <w:jc w:val="left"/>
            </w:pPr>
            <w:r>
              <w:rPr>
                <w:b w:val="0"/>
                <w:bCs w:val="0"/>
                <w:color w:val="000000"/>
                <w:sz w:val="19"/>
                <w:szCs w:val="19"/>
              </w:rPr>
              <w:t>4.86%</w:t>
            </w:r>
          </w:p>
        </w:tc>
      </w:tr>
      <w:tr w14:paraId="06131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09B49C02">
            <w:pPr>
              <w:jc w:val="left"/>
            </w:pPr>
            <w:r>
              <w:rPr>
                <w:b w:val="0"/>
                <w:bCs w:val="0"/>
                <w:color w:val="000000"/>
                <w:sz w:val="19"/>
                <w:szCs w:val="19"/>
              </w:rPr>
              <w:t>September</w:t>
            </w:r>
          </w:p>
        </w:tc>
        <w:tc>
          <w:tcPr>
            <w:tcW w:w="2200" w:type="dxa"/>
            <w:tcMar>
              <w:top w:w="80" w:type="dxa"/>
              <w:left w:w="100" w:type="dxa"/>
              <w:bottom w:w="80" w:type="dxa"/>
              <w:right w:w="100" w:type="dxa"/>
            </w:tcMar>
          </w:tcPr>
          <w:p w14:paraId="26686C08">
            <w:pPr>
              <w:jc w:val="left"/>
            </w:pPr>
            <w:r>
              <w:rPr>
                <w:b w:val="0"/>
                <w:bCs w:val="0"/>
                <w:color w:val="000000"/>
                <w:sz w:val="19"/>
                <w:szCs w:val="19"/>
              </w:rPr>
              <w:t>5.94%</w:t>
            </w:r>
          </w:p>
        </w:tc>
        <w:tc>
          <w:tcPr>
            <w:tcW w:w="2200" w:type="dxa"/>
            <w:tcMar>
              <w:top w:w="80" w:type="dxa"/>
              <w:left w:w="100" w:type="dxa"/>
              <w:bottom w:w="80" w:type="dxa"/>
              <w:right w:w="100" w:type="dxa"/>
            </w:tcMar>
          </w:tcPr>
          <w:p w14:paraId="5EF22817">
            <w:pPr>
              <w:jc w:val="left"/>
            </w:pPr>
            <w:r>
              <w:rPr>
                <w:b w:val="0"/>
                <w:bCs w:val="0"/>
                <w:color w:val="000000"/>
                <w:sz w:val="19"/>
                <w:szCs w:val="19"/>
              </w:rPr>
              <w:t>17.38%</w:t>
            </w:r>
          </w:p>
        </w:tc>
        <w:tc>
          <w:tcPr>
            <w:tcW w:w="2500" w:type="dxa"/>
            <w:tcMar>
              <w:top w:w="80" w:type="dxa"/>
              <w:left w:w="100" w:type="dxa"/>
              <w:bottom w:w="80" w:type="dxa"/>
              <w:right w:w="100" w:type="dxa"/>
            </w:tcMar>
          </w:tcPr>
          <w:p w14:paraId="5B6F37C3">
            <w:pPr>
              <w:jc w:val="left"/>
            </w:pPr>
            <w:r>
              <w:rPr>
                <w:b w:val="0"/>
                <w:bCs w:val="0"/>
                <w:color w:val="000000"/>
                <w:sz w:val="19"/>
                <w:szCs w:val="19"/>
              </w:rPr>
              <w:t>24.07%</w:t>
            </w:r>
          </w:p>
        </w:tc>
      </w:tr>
      <w:tr w14:paraId="33621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80" w:type="dxa"/>
              <w:left w:w="100" w:type="dxa"/>
              <w:bottom w:w="80" w:type="dxa"/>
              <w:right w:w="100" w:type="dxa"/>
            </w:tcMar>
          </w:tcPr>
          <w:p w14:paraId="6DC8EBF8">
            <w:pPr>
              <w:jc w:val="left"/>
            </w:pPr>
            <w:r>
              <w:rPr>
                <w:b w:val="0"/>
                <w:bCs w:val="0"/>
                <w:color w:val="000000"/>
                <w:sz w:val="19"/>
                <w:szCs w:val="19"/>
              </w:rPr>
              <w:t>October</w:t>
            </w:r>
          </w:p>
        </w:tc>
        <w:tc>
          <w:tcPr>
            <w:tcW w:w="2200" w:type="dxa"/>
            <w:shd w:val="clear" w:color="auto" w:fill="F2F2F2"/>
            <w:tcMar>
              <w:top w:w="80" w:type="dxa"/>
              <w:left w:w="100" w:type="dxa"/>
              <w:bottom w:w="80" w:type="dxa"/>
              <w:right w:w="100" w:type="dxa"/>
            </w:tcMar>
          </w:tcPr>
          <w:p w14:paraId="6C01C0C9">
            <w:pPr>
              <w:jc w:val="left"/>
            </w:pPr>
            <w:r>
              <w:rPr>
                <w:b w:val="0"/>
                <w:bCs w:val="0"/>
                <w:color w:val="000000"/>
                <w:sz w:val="19"/>
                <w:szCs w:val="19"/>
              </w:rPr>
              <w:t>-12.03%</w:t>
            </w:r>
          </w:p>
        </w:tc>
        <w:tc>
          <w:tcPr>
            <w:tcW w:w="2200" w:type="dxa"/>
            <w:shd w:val="clear" w:color="auto" w:fill="F2F2F2"/>
            <w:tcMar>
              <w:top w:w="80" w:type="dxa"/>
              <w:left w:w="100" w:type="dxa"/>
              <w:bottom w:w="80" w:type="dxa"/>
              <w:right w:w="100" w:type="dxa"/>
            </w:tcMar>
          </w:tcPr>
          <w:p w14:paraId="035A560C">
            <w:pPr>
              <w:jc w:val="left"/>
            </w:pPr>
            <w:r>
              <w:rPr>
                <w:b w:val="0"/>
                <w:bCs w:val="0"/>
                <w:color w:val="000000"/>
                <w:sz w:val="19"/>
                <w:szCs w:val="19"/>
              </w:rPr>
              <w:t>31.22%</w:t>
            </w:r>
          </w:p>
        </w:tc>
        <w:tc>
          <w:tcPr>
            <w:tcW w:w="2500" w:type="dxa"/>
            <w:shd w:val="clear" w:color="auto" w:fill="F2F2F2"/>
            <w:tcMar>
              <w:top w:w="80" w:type="dxa"/>
              <w:left w:w="100" w:type="dxa"/>
              <w:bottom w:w="80" w:type="dxa"/>
              <w:right w:w="100" w:type="dxa"/>
            </w:tcMar>
          </w:tcPr>
          <w:p w14:paraId="4E2FA0F2">
            <w:pPr>
              <w:jc w:val="left"/>
            </w:pPr>
            <w:r>
              <w:rPr>
                <w:b w:val="0"/>
                <w:bCs w:val="0"/>
                <w:color w:val="000000"/>
                <w:sz w:val="19"/>
                <w:szCs w:val="19"/>
              </w:rPr>
              <w:t>76.48%</w:t>
            </w:r>
          </w:p>
        </w:tc>
      </w:tr>
      <w:tr w14:paraId="10E29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08E49FC3">
            <w:pPr>
              <w:jc w:val="left"/>
            </w:pPr>
            <w:r>
              <w:rPr>
                <w:b w:val="0"/>
                <w:bCs w:val="0"/>
                <w:color w:val="000000"/>
                <w:sz w:val="19"/>
                <w:szCs w:val="19"/>
              </w:rPr>
              <w:t>November</w:t>
            </w:r>
          </w:p>
        </w:tc>
        <w:tc>
          <w:tcPr>
            <w:tcW w:w="2200" w:type="dxa"/>
            <w:tcMar>
              <w:top w:w="80" w:type="dxa"/>
              <w:left w:w="100" w:type="dxa"/>
              <w:bottom w:w="80" w:type="dxa"/>
              <w:right w:w="100" w:type="dxa"/>
            </w:tcMar>
          </w:tcPr>
          <w:p w14:paraId="41240179">
            <w:pPr>
              <w:jc w:val="left"/>
            </w:pPr>
            <w:r>
              <w:rPr>
                <w:b w:val="0"/>
                <w:bCs w:val="0"/>
                <w:color w:val="000000"/>
                <w:sz w:val="19"/>
                <w:szCs w:val="19"/>
              </w:rPr>
              <w:t>-2.11%</w:t>
            </w:r>
          </w:p>
        </w:tc>
        <w:tc>
          <w:tcPr>
            <w:tcW w:w="2200" w:type="dxa"/>
            <w:tcMar>
              <w:top w:w="80" w:type="dxa"/>
              <w:left w:w="100" w:type="dxa"/>
              <w:bottom w:w="80" w:type="dxa"/>
              <w:right w:w="100" w:type="dxa"/>
            </w:tcMar>
          </w:tcPr>
          <w:p w14:paraId="13100AA1">
            <w:pPr>
              <w:jc w:val="left"/>
            </w:pPr>
            <w:r>
              <w:rPr>
                <w:b w:val="0"/>
                <w:bCs w:val="0"/>
                <w:color w:val="000000"/>
                <w:sz w:val="19"/>
                <w:szCs w:val="19"/>
              </w:rPr>
              <w:t>24.02%</w:t>
            </w:r>
          </w:p>
        </w:tc>
        <w:tc>
          <w:tcPr>
            <w:tcW w:w="2500" w:type="dxa"/>
            <w:tcMar>
              <w:top w:w="80" w:type="dxa"/>
              <w:left w:w="100" w:type="dxa"/>
              <w:bottom w:w="80" w:type="dxa"/>
              <w:right w:w="100" w:type="dxa"/>
            </w:tcMar>
          </w:tcPr>
          <w:p w14:paraId="72489995">
            <w:pPr>
              <w:jc w:val="left"/>
            </w:pPr>
            <w:r>
              <w:rPr>
                <w:b w:val="0"/>
                <w:bCs w:val="0"/>
                <w:color w:val="000000"/>
                <w:sz w:val="19"/>
                <w:szCs w:val="19"/>
              </w:rPr>
              <w:t>50.16%</w:t>
            </w:r>
          </w:p>
        </w:tc>
      </w:tr>
      <w:tr w14:paraId="3E64B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80" w:type="dxa"/>
              <w:left w:w="100" w:type="dxa"/>
              <w:bottom w:w="80" w:type="dxa"/>
              <w:right w:w="100" w:type="dxa"/>
            </w:tcMar>
          </w:tcPr>
          <w:p w14:paraId="48D7118C">
            <w:pPr>
              <w:jc w:val="left"/>
            </w:pPr>
            <w:r>
              <w:rPr>
                <w:b w:val="0"/>
                <w:bCs w:val="0"/>
                <w:color w:val="000000"/>
                <w:sz w:val="19"/>
                <w:szCs w:val="19"/>
              </w:rPr>
              <w:t>December</w:t>
            </w:r>
          </w:p>
        </w:tc>
        <w:tc>
          <w:tcPr>
            <w:tcW w:w="2200" w:type="dxa"/>
            <w:shd w:val="clear" w:color="auto" w:fill="F2F2F2"/>
            <w:tcMar>
              <w:top w:w="80" w:type="dxa"/>
              <w:left w:w="100" w:type="dxa"/>
              <w:bottom w:w="80" w:type="dxa"/>
              <w:right w:w="100" w:type="dxa"/>
            </w:tcMar>
          </w:tcPr>
          <w:p w14:paraId="13891210">
            <w:pPr>
              <w:jc w:val="left"/>
            </w:pPr>
            <w:r>
              <w:rPr>
                <w:b w:val="0"/>
                <w:bCs w:val="0"/>
                <w:color w:val="000000"/>
                <w:sz w:val="19"/>
                <w:szCs w:val="19"/>
              </w:rPr>
              <w:t>4.85%</w:t>
            </w:r>
          </w:p>
        </w:tc>
        <w:tc>
          <w:tcPr>
            <w:tcW w:w="2200" w:type="dxa"/>
            <w:shd w:val="clear" w:color="auto" w:fill="F2F2F2"/>
            <w:tcMar>
              <w:top w:w="80" w:type="dxa"/>
              <w:left w:w="100" w:type="dxa"/>
              <w:bottom w:w="80" w:type="dxa"/>
              <w:right w:w="100" w:type="dxa"/>
            </w:tcMar>
          </w:tcPr>
          <w:p w14:paraId="60430AEF">
            <w:pPr>
              <w:jc w:val="left"/>
            </w:pPr>
            <w:r>
              <w:rPr>
                <w:b w:val="0"/>
                <w:bCs w:val="0"/>
                <w:color w:val="000000"/>
                <w:sz w:val="19"/>
                <w:szCs w:val="19"/>
              </w:rPr>
              <w:t>18.39%</w:t>
            </w:r>
          </w:p>
        </w:tc>
        <w:tc>
          <w:tcPr>
            <w:tcW w:w="2500" w:type="dxa"/>
            <w:shd w:val="clear" w:color="auto" w:fill="F2F2F2"/>
            <w:tcMar>
              <w:top w:w="80" w:type="dxa"/>
              <w:left w:w="100" w:type="dxa"/>
              <w:bottom w:w="80" w:type="dxa"/>
              <w:right w:w="100" w:type="dxa"/>
            </w:tcMar>
          </w:tcPr>
          <w:p w14:paraId="5765082B">
            <w:pPr>
              <w:jc w:val="left"/>
            </w:pPr>
            <w:r>
              <w:rPr>
                <w:b w:val="0"/>
                <w:bCs w:val="0"/>
                <w:color w:val="000000"/>
                <w:sz w:val="19"/>
                <w:szCs w:val="19"/>
              </w:rPr>
              <w:t>27.61%</w:t>
            </w:r>
          </w:p>
        </w:tc>
      </w:tr>
    </w:tbl>
    <w:p w14:paraId="600C8125">
      <w:pPr>
        <w:spacing w:after="150" w:line="276" w:lineRule="auto"/>
      </w:pPr>
      <w:r>
        <w:rPr>
          <w:sz w:val="21"/>
          <w:szCs w:val="21"/>
        </w:rPr>
        <w:t>October's average discount (31.22%) is the highest of any month, and its loss-item share (76.48%) is far outside the range seen elsewhere in the year (typically 5%-40%). November, immediately following, shows a similar but smaller elevation (24.02% discount, 50.16% loss-item share), suggesting the effect extends slightly beyond October itself.</w:t>
      </w:r>
    </w:p>
    <w:p w14:paraId="46221B6F">
      <w:pPr>
        <w:spacing w:after="150" w:line="276" w:lineRule="auto"/>
      </w:pPr>
      <w:r>
        <w:rPr>
          <w:sz w:val="21"/>
          <w:szCs w:val="21"/>
        </w:rPr>
        <w:t>At the category level, every one of the 8 product categories turns negative in October, including categories that are strongly profitable for the rest of the year:</w:t>
      </w:r>
    </w:p>
    <w:tbl>
      <w:tblPr>
        <w:tblStyle w:val="9"/>
        <w:tblW w:w="9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200"/>
        <w:gridCol w:w="2500"/>
        <w:gridCol w:w="1800"/>
      </w:tblGrid>
      <w:tr w14:paraId="38052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tcPr>
          <w:p w14:paraId="7A042DDC">
            <w:pPr>
              <w:jc w:val="center"/>
            </w:pPr>
            <w:r>
              <w:rPr>
                <w:b/>
                <w:bCs/>
                <w:color w:val="FFFFFF"/>
                <w:sz w:val="19"/>
                <w:szCs w:val="19"/>
              </w:rPr>
              <w:t>Category</w:t>
            </w:r>
          </w:p>
        </w:tc>
        <w:tc>
          <w:tcPr>
            <w:tcW w:w="2200" w:type="dxa"/>
            <w:shd w:val="clear" w:color="auto" w:fill="1F3864"/>
            <w:tcMar>
              <w:top w:w="80" w:type="dxa"/>
              <w:left w:w="100" w:type="dxa"/>
              <w:bottom w:w="80" w:type="dxa"/>
              <w:right w:w="100" w:type="dxa"/>
            </w:tcMar>
          </w:tcPr>
          <w:p w14:paraId="22A70952">
            <w:pPr>
              <w:jc w:val="center"/>
            </w:pPr>
            <w:r>
              <w:rPr>
                <w:b/>
                <w:bCs/>
                <w:color w:val="FFFFFF"/>
                <w:sz w:val="19"/>
                <w:szCs w:val="19"/>
              </w:rPr>
              <w:t>October Margin %</w:t>
            </w:r>
          </w:p>
        </w:tc>
        <w:tc>
          <w:tcPr>
            <w:tcW w:w="2500" w:type="dxa"/>
            <w:shd w:val="clear" w:color="auto" w:fill="1F3864"/>
            <w:tcMar>
              <w:top w:w="80" w:type="dxa"/>
              <w:left w:w="100" w:type="dxa"/>
              <w:bottom w:w="80" w:type="dxa"/>
              <w:right w:w="100" w:type="dxa"/>
            </w:tcMar>
          </w:tcPr>
          <w:p w14:paraId="3C6BE57B">
            <w:pPr>
              <w:jc w:val="center"/>
            </w:pPr>
            <w:r>
              <w:rPr>
                <w:b/>
                <w:bCs/>
                <w:color w:val="FFFFFF"/>
                <w:sz w:val="19"/>
                <w:szCs w:val="19"/>
              </w:rPr>
              <w:t>Rest-of-Year Margin %</w:t>
            </w:r>
          </w:p>
        </w:tc>
        <w:tc>
          <w:tcPr>
            <w:tcW w:w="1800" w:type="dxa"/>
            <w:shd w:val="clear" w:color="auto" w:fill="1F3864"/>
            <w:tcMar>
              <w:top w:w="80" w:type="dxa"/>
              <w:left w:w="100" w:type="dxa"/>
              <w:bottom w:w="80" w:type="dxa"/>
              <w:right w:w="100" w:type="dxa"/>
            </w:tcMar>
          </w:tcPr>
          <w:p w14:paraId="442158DC">
            <w:pPr>
              <w:jc w:val="center"/>
            </w:pPr>
            <w:r>
              <w:rPr>
                <w:b/>
                <w:bCs/>
                <w:color w:val="FFFFFF"/>
                <w:sz w:val="19"/>
                <w:szCs w:val="19"/>
              </w:rPr>
              <w:t>Difference (pts)</w:t>
            </w:r>
          </w:p>
        </w:tc>
      </w:tr>
      <w:tr w14:paraId="37668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58A51B1D">
            <w:pPr>
              <w:jc w:val="left"/>
            </w:pPr>
            <w:r>
              <w:rPr>
                <w:b w:val="0"/>
                <w:bCs w:val="0"/>
                <w:color w:val="000000"/>
                <w:sz w:val="19"/>
                <w:szCs w:val="19"/>
              </w:rPr>
              <w:t>Beauty &amp; Personal Care</w:t>
            </w:r>
          </w:p>
        </w:tc>
        <w:tc>
          <w:tcPr>
            <w:tcW w:w="2200" w:type="dxa"/>
            <w:tcMar>
              <w:top w:w="80" w:type="dxa"/>
              <w:left w:w="100" w:type="dxa"/>
              <w:bottom w:w="80" w:type="dxa"/>
              <w:right w:w="100" w:type="dxa"/>
            </w:tcMar>
          </w:tcPr>
          <w:p w14:paraId="7238F555">
            <w:pPr>
              <w:jc w:val="left"/>
            </w:pPr>
            <w:r>
              <w:rPr>
                <w:b w:val="0"/>
                <w:bCs w:val="0"/>
                <w:color w:val="000000"/>
                <w:sz w:val="19"/>
                <w:szCs w:val="19"/>
              </w:rPr>
              <w:t>-3.32%</w:t>
            </w:r>
          </w:p>
        </w:tc>
        <w:tc>
          <w:tcPr>
            <w:tcW w:w="2500" w:type="dxa"/>
            <w:tcMar>
              <w:top w:w="80" w:type="dxa"/>
              <w:left w:w="100" w:type="dxa"/>
              <w:bottom w:w="80" w:type="dxa"/>
              <w:right w:w="100" w:type="dxa"/>
            </w:tcMar>
          </w:tcPr>
          <w:p w14:paraId="34D467B6">
            <w:pPr>
              <w:jc w:val="left"/>
            </w:pPr>
            <w:r>
              <w:rPr>
                <w:b w:val="0"/>
                <w:bCs w:val="0"/>
                <w:color w:val="000000"/>
                <w:sz w:val="19"/>
                <w:szCs w:val="19"/>
              </w:rPr>
              <w:t>13.28%</w:t>
            </w:r>
          </w:p>
        </w:tc>
        <w:tc>
          <w:tcPr>
            <w:tcW w:w="1800" w:type="dxa"/>
            <w:tcMar>
              <w:top w:w="80" w:type="dxa"/>
              <w:left w:w="100" w:type="dxa"/>
              <w:bottom w:w="80" w:type="dxa"/>
              <w:right w:w="100" w:type="dxa"/>
            </w:tcMar>
          </w:tcPr>
          <w:p w14:paraId="773C1553">
            <w:pPr>
              <w:jc w:val="left"/>
            </w:pPr>
            <w:r>
              <w:rPr>
                <w:b w:val="0"/>
                <w:bCs w:val="0"/>
                <w:color w:val="000000"/>
                <w:sz w:val="19"/>
                <w:szCs w:val="19"/>
              </w:rPr>
              <w:t>-16.60</w:t>
            </w:r>
          </w:p>
        </w:tc>
      </w:tr>
      <w:tr w14:paraId="1A138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tcPr>
          <w:p w14:paraId="750A6913">
            <w:pPr>
              <w:jc w:val="left"/>
            </w:pPr>
            <w:r>
              <w:rPr>
                <w:b w:val="0"/>
                <w:bCs w:val="0"/>
                <w:color w:val="000000"/>
                <w:sz w:val="19"/>
                <w:szCs w:val="19"/>
              </w:rPr>
              <w:t>Fashion</w:t>
            </w:r>
          </w:p>
        </w:tc>
        <w:tc>
          <w:tcPr>
            <w:tcW w:w="2200" w:type="dxa"/>
            <w:shd w:val="clear" w:color="auto" w:fill="F2F2F2"/>
            <w:tcMar>
              <w:top w:w="80" w:type="dxa"/>
              <w:left w:w="100" w:type="dxa"/>
              <w:bottom w:w="80" w:type="dxa"/>
              <w:right w:w="100" w:type="dxa"/>
            </w:tcMar>
          </w:tcPr>
          <w:p w14:paraId="61EE0495">
            <w:pPr>
              <w:jc w:val="left"/>
            </w:pPr>
            <w:r>
              <w:rPr>
                <w:b w:val="0"/>
                <w:bCs w:val="0"/>
                <w:color w:val="000000"/>
                <w:sz w:val="19"/>
                <w:szCs w:val="19"/>
              </w:rPr>
              <w:t>-6.79%</w:t>
            </w:r>
          </w:p>
        </w:tc>
        <w:tc>
          <w:tcPr>
            <w:tcW w:w="2500" w:type="dxa"/>
            <w:shd w:val="clear" w:color="auto" w:fill="F2F2F2"/>
            <w:tcMar>
              <w:top w:w="80" w:type="dxa"/>
              <w:left w:w="100" w:type="dxa"/>
              <w:bottom w:w="80" w:type="dxa"/>
              <w:right w:w="100" w:type="dxa"/>
            </w:tcMar>
          </w:tcPr>
          <w:p w14:paraId="006411AC">
            <w:pPr>
              <w:jc w:val="left"/>
            </w:pPr>
            <w:r>
              <w:rPr>
                <w:b w:val="0"/>
                <w:bCs w:val="0"/>
                <w:color w:val="000000"/>
                <w:sz w:val="19"/>
                <w:szCs w:val="19"/>
              </w:rPr>
              <w:t>10.78%</w:t>
            </w:r>
          </w:p>
        </w:tc>
        <w:tc>
          <w:tcPr>
            <w:tcW w:w="1800" w:type="dxa"/>
            <w:shd w:val="clear" w:color="auto" w:fill="F2F2F2"/>
            <w:tcMar>
              <w:top w:w="80" w:type="dxa"/>
              <w:left w:w="100" w:type="dxa"/>
              <w:bottom w:w="80" w:type="dxa"/>
              <w:right w:w="100" w:type="dxa"/>
            </w:tcMar>
          </w:tcPr>
          <w:p w14:paraId="762CF47F">
            <w:pPr>
              <w:jc w:val="left"/>
            </w:pPr>
            <w:r>
              <w:rPr>
                <w:b w:val="0"/>
                <w:bCs w:val="0"/>
                <w:color w:val="000000"/>
                <w:sz w:val="19"/>
                <w:szCs w:val="19"/>
              </w:rPr>
              <w:t>-17.57</w:t>
            </w:r>
          </w:p>
        </w:tc>
      </w:tr>
      <w:tr w14:paraId="66039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59FF0D70">
            <w:pPr>
              <w:jc w:val="left"/>
            </w:pPr>
            <w:r>
              <w:rPr>
                <w:b w:val="0"/>
                <w:bCs w:val="0"/>
                <w:color w:val="000000"/>
                <w:sz w:val="19"/>
                <w:szCs w:val="19"/>
              </w:rPr>
              <w:t>Home &amp; Kitchen</w:t>
            </w:r>
          </w:p>
        </w:tc>
        <w:tc>
          <w:tcPr>
            <w:tcW w:w="2200" w:type="dxa"/>
            <w:tcMar>
              <w:top w:w="80" w:type="dxa"/>
              <w:left w:w="100" w:type="dxa"/>
              <w:bottom w:w="80" w:type="dxa"/>
              <w:right w:w="100" w:type="dxa"/>
            </w:tcMar>
          </w:tcPr>
          <w:p w14:paraId="0D4F170D">
            <w:pPr>
              <w:jc w:val="left"/>
            </w:pPr>
            <w:r>
              <w:rPr>
                <w:b w:val="0"/>
                <w:bCs w:val="0"/>
                <w:color w:val="000000"/>
                <w:sz w:val="19"/>
                <w:szCs w:val="19"/>
              </w:rPr>
              <w:t>-7.68%</w:t>
            </w:r>
          </w:p>
        </w:tc>
        <w:tc>
          <w:tcPr>
            <w:tcW w:w="2500" w:type="dxa"/>
            <w:tcMar>
              <w:top w:w="80" w:type="dxa"/>
              <w:left w:w="100" w:type="dxa"/>
              <w:bottom w:w="80" w:type="dxa"/>
              <w:right w:w="100" w:type="dxa"/>
            </w:tcMar>
          </w:tcPr>
          <w:p w14:paraId="104C34C6">
            <w:pPr>
              <w:jc w:val="left"/>
            </w:pPr>
            <w:r>
              <w:rPr>
                <w:b w:val="0"/>
                <w:bCs w:val="0"/>
                <w:color w:val="000000"/>
                <w:sz w:val="19"/>
                <w:szCs w:val="19"/>
              </w:rPr>
              <w:t>8.26%</w:t>
            </w:r>
          </w:p>
        </w:tc>
        <w:tc>
          <w:tcPr>
            <w:tcW w:w="1800" w:type="dxa"/>
            <w:tcMar>
              <w:top w:w="80" w:type="dxa"/>
              <w:left w:w="100" w:type="dxa"/>
              <w:bottom w:w="80" w:type="dxa"/>
              <w:right w:w="100" w:type="dxa"/>
            </w:tcMar>
          </w:tcPr>
          <w:p w14:paraId="15DC0833">
            <w:pPr>
              <w:jc w:val="left"/>
            </w:pPr>
            <w:r>
              <w:rPr>
                <w:b w:val="0"/>
                <w:bCs w:val="0"/>
                <w:color w:val="000000"/>
                <w:sz w:val="19"/>
                <w:szCs w:val="19"/>
              </w:rPr>
              <w:t>-15.94</w:t>
            </w:r>
          </w:p>
        </w:tc>
      </w:tr>
      <w:tr w14:paraId="1EDC9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tcPr>
          <w:p w14:paraId="72617A0B">
            <w:pPr>
              <w:jc w:val="left"/>
            </w:pPr>
            <w:r>
              <w:rPr>
                <w:b w:val="0"/>
                <w:bCs w:val="0"/>
                <w:color w:val="000000"/>
                <w:sz w:val="19"/>
                <w:szCs w:val="19"/>
              </w:rPr>
              <w:t>Sports &amp; Fitness</w:t>
            </w:r>
          </w:p>
        </w:tc>
        <w:tc>
          <w:tcPr>
            <w:tcW w:w="2200" w:type="dxa"/>
            <w:shd w:val="clear" w:color="auto" w:fill="F2F2F2"/>
            <w:tcMar>
              <w:top w:w="80" w:type="dxa"/>
              <w:left w:w="100" w:type="dxa"/>
              <w:bottom w:w="80" w:type="dxa"/>
              <w:right w:w="100" w:type="dxa"/>
            </w:tcMar>
          </w:tcPr>
          <w:p w14:paraId="76837EFD">
            <w:pPr>
              <w:jc w:val="left"/>
            </w:pPr>
            <w:r>
              <w:rPr>
                <w:b w:val="0"/>
                <w:bCs w:val="0"/>
                <w:color w:val="000000"/>
                <w:sz w:val="19"/>
                <w:szCs w:val="19"/>
              </w:rPr>
              <w:t>-9.81%</w:t>
            </w:r>
          </w:p>
        </w:tc>
        <w:tc>
          <w:tcPr>
            <w:tcW w:w="2500" w:type="dxa"/>
            <w:shd w:val="clear" w:color="auto" w:fill="F2F2F2"/>
            <w:tcMar>
              <w:top w:w="80" w:type="dxa"/>
              <w:left w:w="100" w:type="dxa"/>
              <w:bottom w:w="80" w:type="dxa"/>
              <w:right w:w="100" w:type="dxa"/>
            </w:tcMar>
          </w:tcPr>
          <w:p w14:paraId="11395099">
            <w:pPr>
              <w:jc w:val="left"/>
            </w:pPr>
            <w:r>
              <w:rPr>
                <w:b w:val="0"/>
                <w:bCs w:val="0"/>
                <w:color w:val="000000"/>
                <w:sz w:val="19"/>
                <w:szCs w:val="19"/>
              </w:rPr>
              <w:t>7.55%</w:t>
            </w:r>
          </w:p>
        </w:tc>
        <w:tc>
          <w:tcPr>
            <w:tcW w:w="1800" w:type="dxa"/>
            <w:shd w:val="clear" w:color="auto" w:fill="F2F2F2"/>
            <w:tcMar>
              <w:top w:w="80" w:type="dxa"/>
              <w:left w:w="100" w:type="dxa"/>
              <w:bottom w:w="80" w:type="dxa"/>
              <w:right w:w="100" w:type="dxa"/>
            </w:tcMar>
          </w:tcPr>
          <w:p w14:paraId="7FE2E96D">
            <w:pPr>
              <w:jc w:val="left"/>
            </w:pPr>
            <w:r>
              <w:rPr>
                <w:b w:val="0"/>
                <w:bCs w:val="0"/>
                <w:color w:val="000000"/>
                <w:sz w:val="19"/>
                <w:szCs w:val="19"/>
              </w:rPr>
              <w:t>-17.36</w:t>
            </w:r>
          </w:p>
        </w:tc>
      </w:tr>
      <w:tr w14:paraId="2E716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00B4F052">
            <w:pPr>
              <w:jc w:val="left"/>
            </w:pPr>
            <w:r>
              <w:rPr>
                <w:b w:val="0"/>
                <w:bCs w:val="0"/>
                <w:color w:val="000000"/>
                <w:sz w:val="19"/>
                <w:szCs w:val="19"/>
              </w:rPr>
              <w:t>Toys &amp; Baby Products</w:t>
            </w:r>
          </w:p>
        </w:tc>
        <w:tc>
          <w:tcPr>
            <w:tcW w:w="2200" w:type="dxa"/>
            <w:tcMar>
              <w:top w:w="80" w:type="dxa"/>
              <w:left w:w="100" w:type="dxa"/>
              <w:bottom w:w="80" w:type="dxa"/>
              <w:right w:w="100" w:type="dxa"/>
            </w:tcMar>
          </w:tcPr>
          <w:p w14:paraId="25D45F2C">
            <w:pPr>
              <w:jc w:val="left"/>
            </w:pPr>
            <w:r>
              <w:rPr>
                <w:b w:val="0"/>
                <w:bCs w:val="0"/>
                <w:color w:val="000000"/>
                <w:sz w:val="19"/>
                <w:szCs w:val="19"/>
              </w:rPr>
              <w:t>-10.80%</w:t>
            </w:r>
          </w:p>
        </w:tc>
        <w:tc>
          <w:tcPr>
            <w:tcW w:w="2500" w:type="dxa"/>
            <w:tcMar>
              <w:top w:w="80" w:type="dxa"/>
              <w:left w:w="100" w:type="dxa"/>
              <w:bottom w:w="80" w:type="dxa"/>
              <w:right w:w="100" w:type="dxa"/>
            </w:tcMar>
          </w:tcPr>
          <w:p w14:paraId="7BF012E4">
            <w:pPr>
              <w:jc w:val="left"/>
            </w:pPr>
            <w:r>
              <w:rPr>
                <w:b w:val="0"/>
                <w:bCs w:val="0"/>
                <w:color w:val="000000"/>
                <w:sz w:val="19"/>
                <w:szCs w:val="19"/>
              </w:rPr>
              <w:t>6.73%</w:t>
            </w:r>
          </w:p>
        </w:tc>
        <w:tc>
          <w:tcPr>
            <w:tcW w:w="1800" w:type="dxa"/>
            <w:tcMar>
              <w:top w:w="80" w:type="dxa"/>
              <w:left w:w="100" w:type="dxa"/>
              <w:bottom w:w="80" w:type="dxa"/>
              <w:right w:w="100" w:type="dxa"/>
            </w:tcMar>
          </w:tcPr>
          <w:p w14:paraId="399CDF27">
            <w:pPr>
              <w:jc w:val="left"/>
            </w:pPr>
            <w:r>
              <w:rPr>
                <w:b w:val="0"/>
                <w:bCs w:val="0"/>
                <w:color w:val="000000"/>
                <w:sz w:val="19"/>
                <w:szCs w:val="19"/>
              </w:rPr>
              <w:t>-17.53</w:t>
            </w:r>
          </w:p>
        </w:tc>
      </w:tr>
      <w:tr w14:paraId="7CAB2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tcPr>
          <w:p w14:paraId="5B61493F">
            <w:pPr>
              <w:jc w:val="left"/>
            </w:pPr>
            <w:r>
              <w:rPr>
                <w:b w:val="0"/>
                <w:bCs w:val="0"/>
                <w:color w:val="000000"/>
                <w:sz w:val="19"/>
                <w:szCs w:val="19"/>
              </w:rPr>
              <w:t>Books</w:t>
            </w:r>
          </w:p>
        </w:tc>
        <w:tc>
          <w:tcPr>
            <w:tcW w:w="2200" w:type="dxa"/>
            <w:shd w:val="clear" w:color="auto" w:fill="F2F2F2"/>
            <w:tcMar>
              <w:top w:w="80" w:type="dxa"/>
              <w:left w:w="100" w:type="dxa"/>
              <w:bottom w:w="80" w:type="dxa"/>
              <w:right w:w="100" w:type="dxa"/>
            </w:tcMar>
          </w:tcPr>
          <w:p w14:paraId="57C4D585">
            <w:pPr>
              <w:jc w:val="left"/>
            </w:pPr>
            <w:r>
              <w:rPr>
                <w:b w:val="0"/>
                <w:bCs w:val="0"/>
                <w:color w:val="000000"/>
                <w:sz w:val="19"/>
                <w:szCs w:val="19"/>
              </w:rPr>
              <w:t>-7.21%</w:t>
            </w:r>
          </w:p>
        </w:tc>
        <w:tc>
          <w:tcPr>
            <w:tcW w:w="2500" w:type="dxa"/>
            <w:shd w:val="clear" w:color="auto" w:fill="F2F2F2"/>
            <w:tcMar>
              <w:top w:w="80" w:type="dxa"/>
              <w:left w:w="100" w:type="dxa"/>
              <w:bottom w:w="80" w:type="dxa"/>
              <w:right w:w="100" w:type="dxa"/>
            </w:tcMar>
          </w:tcPr>
          <w:p w14:paraId="35E6BADB">
            <w:pPr>
              <w:jc w:val="left"/>
            </w:pPr>
            <w:r>
              <w:rPr>
                <w:b w:val="0"/>
                <w:bCs w:val="0"/>
                <w:color w:val="000000"/>
                <w:sz w:val="19"/>
                <w:szCs w:val="19"/>
              </w:rPr>
              <w:t>7.37%</w:t>
            </w:r>
          </w:p>
        </w:tc>
        <w:tc>
          <w:tcPr>
            <w:tcW w:w="1800" w:type="dxa"/>
            <w:shd w:val="clear" w:color="auto" w:fill="F2F2F2"/>
            <w:tcMar>
              <w:top w:w="80" w:type="dxa"/>
              <w:left w:w="100" w:type="dxa"/>
              <w:bottom w:w="80" w:type="dxa"/>
              <w:right w:w="100" w:type="dxa"/>
            </w:tcMar>
          </w:tcPr>
          <w:p w14:paraId="37867D2F">
            <w:pPr>
              <w:jc w:val="left"/>
            </w:pPr>
            <w:r>
              <w:rPr>
                <w:b w:val="0"/>
                <w:bCs w:val="0"/>
                <w:color w:val="000000"/>
                <w:sz w:val="19"/>
                <w:szCs w:val="19"/>
              </w:rPr>
              <w:t>-14.58</w:t>
            </w:r>
          </w:p>
        </w:tc>
      </w:tr>
      <w:tr w14:paraId="4B398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265356CE">
            <w:pPr>
              <w:jc w:val="left"/>
            </w:pPr>
            <w:r>
              <w:rPr>
                <w:b w:val="0"/>
                <w:bCs w:val="0"/>
                <w:color w:val="000000"/>
                <w:sz w:val="19"/>
                <w:szCs w:val="19"/>
              </w:rPr>
              <w:t>Grocery</w:t>
            </w:r>
          </w:p>
        </w:tc>
        <w:tc>
          <w:tcPr>
            <w:tcW w:w="2200" w:type="dxa"/>
            <w:tcMar>
              <w:top w:w="80" w:type="dxa"/>
              <w:left w:w="100" w:type="dxa"/>
              <w:bottom w:w="80" w:type="dxa"/>
              <w:right w:w="100" w:type="dxa"/>
            </w:tcMar>
          </w:tcPr>
          <w:p w14:paraId="236D1C69">
            <w:pPr>
              <w:jc w:val="left"/>
            </w:pPr>
            <w:r>
              <w:rPr>
                <w:b w:val="0"/>
                <w:bCs w:val="0"/>
                <w:color w:val="000000"/>
                <w:sz w:val="19"/>
                <w:szCs w:val="19"/>
              </w:rPr>
              <w:t>-17.07%</w:t>
            </w:r>
          </w:p>
        </w:tc>
        <w:tc>
          <w:tcPr>
            <w:tcW w:w="2500" w:type="dxa"/>
            <w:tcMar>
              <w:top w:w="80" w:type="dxa"/>
              <w:left w:w="100" w:type="dxa"/>
              <w:bottom w:w="80" w:type="dxa"/>
              <w:right w:w="100" w:type="dxa"/>
            </w:tcMar>
          </w:tcPr>
          <w:p w14:paraId="17DE914F">
            <w:pPr>
              <w:jc w:val="left"/>
            </w:pPr>
            <w:r>
              <w:rPr>
                <w:b w:val="0"/>
                <w:bCs w:val="0"/>
                <w:color w:val="000000"/>
                <w:sz w:val="19"/>
                <w:szCs w:val="19"/>
              </w:rPr>
              <w:t>-0.61%</w:t>
            </w:r>
          </w:p>
        </w:tc>
        <w:tc>
          <w:tcPr>
            <w:tcW w:w="1800" w:type="dxa"/>
            <w:tcMar>
              <w:top w:w="80" w:type="dxa"/>
              <w:left w:w="100" w:type="dxa"/>
              <w:bottom w:w="80" w:type="dxa"/>
              <w:right w:w="100" w:type="dxa"/>
            </w:tcMar>
          </w:tcPr>
          <w:p w14:paraId="612B1CAB">
            <w:pPr>
              <w:jc w:val="left"/>
            </w:pPr>
            <w:r>
              <w:rPr>
                <w:b w:val="0"/>
                <w:bCs w:val="0"/>
                <w:color w:val="000000"/>
                <w:sz w:val="19"/>
                <w:szCs w:val="19"/>
              </w:rPr>
              <w:t>-16.46</w:t>
            </w:r>
          </w:p>
        </w:tc>
      </w:tr>
      <w:tr w14:paraId="2256B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tcPr>
          <w:p w14:paraId="534EB694">
            <w:pPr>
              <w:jc w:val="left"/>
            </w:pPr>
            <w:r>
              <w:rPr>
                <w:b w:val="0"/>
                <w:bCs w:val="0"/>
                <w:color w:val="000000"/>
                <w:sz w:val="19"/>
                <w:szCs w:val="19"/>
              </w:rPr>
              <w:t>Electronics</w:t>
            </w:r>
          </w:p>
        </w:tc>
        <w:tc>
          <w:tcPr>
            <w:tcW w:w="2200" w:type="dxa"/>
            <w:shd w:val="clear" w:color="auto" w:fill="F2F2F2"/>
            <w:tcMar>
              <w:top w:w="80" w:type="dxa"/>
              <w:left w:w="100" w:type="dxa"/>
              <w:bottom w:w="80" w:type="dxa"/>
              <w:right w:w="100" w:type="dxa"/>
            </w:tcMar>
          </w:tcPr>
          <w:p w14:paraId="6ECAA35B">
            <w:pPr>
              <w:jc w:val="left"/>
            </w:pPr>
            <w:r>
              <w:rPr>
                <w:b w:val="0"/>
                <w:bCs w:val="0"/>
                <w:color w:val="000000"/>
                <w:sz w:val="19"/>
                <w:szCs w:val="19"/>
              </w:rPr>
              <w:t>-17.08%</w:t>
            </w:r>
          </w:p>
        </w:tc>
        <w:tc>
          <w:tcPr>
            <w:tcW w:w="2500" w:type="dxa"/>
            <w:shd w:val="clear" w:color="auto" w:fill="F2F2F2"/>
            <w:tcMar>
              <w:top w:w="80" w:type="dxa"/>
              <w:left w:w="100" w:type="dxa"/>
              <w:bottom w:w="80" w:type="dxa"/>
              <w:right w:w="100" w:type="dxa"/>
            </w:tcMar>
          </w:tcPr>
          <w:p w14:paraId="171291E4">
            <w:pPr>
              <w:jc w:val="left"/>
            </w:pPr>
            <w:r>
              <w:rPr>
                <w:b w:val="0"/>
                <w:bCs w:val="0"/>
                <w:color w:val="000000"/>
                <w:sz w:val="19"/>
                <w:szCs w:val="19"/>
              </w:rPr>
              <w:t>0.11%</w:t>
            </w:r>
          </w:p>
        </w:tc>
        <w:tc>
          <w:tcPr>
            <w:tcW w:w="1800" w:type="dxa"/>
            <w:shd w:val="clear" w:color="auto" w:fill="F2F2F2"/>
            <w:tcMar>
              <w:top w:w="80" w:type="dxa"/>
              <w:left w:w="100" w:type="dxa"/>
              <w:bottom w:w="80" w:type="dxa"/>
              <w:right w:w="100" w:type="dxa"/>
            </w:tcMar>
          </w:tcPr>
          <w:p w14:paraId="55298EC3">
            <w:pPr>
              <w:jc w:val="left"/>
            </w:pPr>
            <w:r>
              <w:rPr>
                <w:b w:val="0"/>
                <w:bCs w:val="0"/>
                <w:color w:val="000000"/>
                <w:sz w:val="19"/>
                <w:szCs w:val="19"/>
              </w:rPr>
              <w:t>-17.19</w:t>
            </w:r>
          </w:p>
        </w:tc>
      </w:tr>
    </w:tbl>
    <w:p w14:paraId="03212B6F">
      <w:pPr>
        <w:spacing w:after="150" w:line="276" w:lineRule="auto"/>
      </w:pPr>
      <w:r>
        <w:rPr>
          <w:sz w:val="21"/>
          <w:szCs w:val="21"/>
        </w:rPr>
        <w:t>The size of the margin drop is remarkably consistent across categories (roughly 15-17.6 percentage points), regardless of how profitable each category normally is — Beauty &amp; Personal Care, the strongest performer for the rest of the year, drops by a similar magnitude to Electronics and Grocery, which are already weak. This pattern — a uniform drop applied across categories with very different baseline profitability — indicates a broad, month-wide effect rather than a problem specific to any one category.</w:t>
      </w:r>
    </w:p>
    <w:p w14:paraId="720B115F">
      <w:pPr>
        <w:spacing w:after="150" w:line="276" w:lineRule="auto"/>
      </w:pPr>
      <w:r>
        <w:rPr>
          <w:sz w:val="21"/>
          <w:szCs w:val="21"/>
        </w:rPr>
        <w:t>The issue has also intensified year-over-year. Comparing October 2024 to October 2025 in isolation:</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50"/>
        <w:gridCol w:w="1650"/>
        <w:gridCol w:w="1950"/>
        <w:gridCol w:w="1950"/>
        <w:gridCol w:w="1150"/>
        <w:gridCol w:w="1450"/>
      </w:tblGrid>
      <w:tr w14:paraId="664E4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50" w:type="dxa"/>
            <w:shd w:val="clear" w:color="auto" w:fill="1F3864"/>
            <w:tcMar>
              <w:top w:w="80" w:type="dxa"/>
              <w:left w:w="100" w:type="dxa"/>
              <w:bottom w:w="80" w:type="dxa"/>
              <w:right w:w="100" w:type="dxa"/>
            </w:tcMar>
          </w:tcPr>
          <w:p w14:paraId="5665087D">
            <w:pPr>
              <w:jc w:val="center"/>
            </w:pPr>
            <w:r>
              <w:rPr>
                <w:b/>
                <w:bCs/>
                <w:color w:val="FFFFFF"/>
                <w:sz w:val="19"/>
                <w:szCs w:val="19"/>
              </w:rPr>
              <w:t>Year</w:t>
            </w:r>
          </w:p>
        </w:tc>
        <w:tc>
          <w:tcPr>
            <w:tcW w:w="1650" w:type="dxa"/>
            <w:shd w:val="clear" w:color="auto" w:fill="1F3864"/>
            <w:tcMar>
              <w:top w:w="80" w:type="dxa"/>
              <w:left w:w="100" w:type="dxa"/>
              <w:bottom w:w="80" w:type="dxa"/>
              <w:right w:w="100" w:type="dxa"/>
            </w:tcMar>
          </w:tcPr>
          <w:p w14:paraId="7EB9FEB4">
            <w:pPr>
              <w:jc w:val="center"/>
            </w:pPr>
            <w:r>
              <w:rPr>
                <w:b/>
                <w:bCs/>
                <w:color w:val="FFFFFF"/>
                <w:sz w:val="19"/>
                <w:szCs w:val="19"/>
              </w:rPr>
              <w:t>Avg. Discount %</w:t>
            </w:r>
          </w:p>
        </w:tc>
        <w:tc>
          <w:tcPr>
            <w:tcW w:w="1950" w:type="dxa"/>
            <w:shd w:val="clear" w:color="auto" w:fill="1F3864"/>
            <w:tcMar>
              <w:top w:w="80" w:type="dxa"/>
              <w:left w:w="100" w:type="dxa"/>
              <w:bottom w:w="80" w:type="dxa"/>
              <w:right w:w="100" w:type="dxa"/>
            </w:tcMar>
          </w:tcPr>
          <w:p w14:paraId="02EB93B3">
            <w:pPr>
              <w:jc w:val="center"/>
            </w:pPr>
            <w:r>
              <w:rPr>
                <w:b/>
                <w:bCs/>
                <w:color w:val="FFFFFF"/>
                <w:sz w:val="19"/>
                <w:szCs w:val="19"/>
              </w:rPr>
              <w:t>Total Revenue (₹)</w:t>
            </w:r>
          </w:p>
        </w:tc>
        <w:tc>
          <w:tcPr>
            <w:tcW w:w="1950" w:type="dxa"/>
            <w:shd w:val="clear" w:color="auto" w:fill="1F3864"/>
            <w:tcMar>
              <w:top w:w="80" w:type="dxa"/>
              <w:left w:w="100" w:type="dxa"/>
              <w:bottom w:w="80" w:type="dxa"/>
              <w:right w:w="100" w:type="dxa"/>
            </w:tcMar>
          </w:tcPr>
          <w:p w14:paraId="65BD4DB4">
            <w:pPr>
              <w:jc w:val="center"/>
            </w:pPr>
            <w:r>
              <w:rPr>
                <w:b/>
                <w:bCs/>
                <w:color w:val="FFFFFF"/>
                <w:sz w:val="19"/>
                <w:szCs w:val="19"/>
              </w:rPr>
              <w:t>Net Profit (₹)</w:t>
            </w:r>
          </w:p>
        </w:tc>
        <w:tc>
          <w:tcPr>
            <w:tcW w:w="1150" w:type="dxa"/>
            <w:shd w:val="clear" w:color="auto" w:fill="1F3864"/>
            <w:tcMar>
              <w:top w:w="80" w:type="dxa"/>
              <w:left w:w="100" w:type="dxa"/>
              <w:bottom w:w="80" w:type="dxa"/>
              <w:right w:w="100" w:type="dxa"/>
            </w:tcMar>
          </w:tcPr>
          <w:p w14:paraId="51224440">
            <w:pPr>
              <w:jc w:val="center"/>
            </w:pPr>
            <w:r>
              <w:rPr>
                <w:b/>
                <w:bCs/>
                <w:color w:val="FFFFFF"/>
                <w:sz w:val="19"/>
                <w:szCs w:val="19"/>
              </w:rPr>
              <w:t>Margin %</w:t>
            </w:r>
          </w:p>
        </w:tc>
        <w:tc>
          <w:tcPr>
            <w:tcW w:w="1450" w:type="dxa"/>
            <w:shd w:val="clear" w:color="auto" w:fill="1F3864"/>
            <w:tcMar>
              <w:top w:w="80" w:type="dxa"/>
              <w:left w:w="100" w:type="dxa"/>
              <w:bottom w:w="80" w:type="dxa"/>
              <w:right w:w="100" w:type="dxa"/>
            </w:tcMar>
          </w:tcPr>
          <w:p w14:paraId="5E239C68">
            <w:pPr>
              <w:jc w:val="center"/>
            </w:pPr>
            <w:r>
              <w:rPr>
                <w:b/>
                <w:bCs/>
                <w:color w:val="FFFFFF"/>
                <w:sz w:val="19"/>
                <w:szCs w:val="19"/>
              </w:rPr>
              <w:t>Loss-Item %</w:t>
            </w:r>
          </w:p>
        </w:tc>
      </w:tr>
      <w:tr w14:paraId="7A2F0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50" w:type="dxa"/>
            <w:tcMar>
              <w:top w:w="80" w:type="dxa"/>
              <w:left w:w="100" w:type="dxa"/>
              <w:bottom w:w="80" w:type="dxa"/>
              <w:right w:w="100" w:type="dxa"/>
            </w:tcMar>
          </w:tcPr>
          <w:p w14:paraId="6BA8EF63">
            <w:pPr>
              <w:jc w:val="left"/>
            </w:pPr>
            <w:r>
              <w:rPr>
                <w:b w:val="0"/>
                <w:bCs w:val="0"/>
                <w:color w:val="000000"/>
                <w:sz w:val="19"/>
                <w:szCs w:val="19"/>
              </w:rPr>
              <w:t>2024</w:t>
            </w:r>
          </w:p>
        </w:tc>
        <w:tc>
          <w:tcPr>
            <w:tcW w:w="1650" w:type="dxa"/>
            <w:tcMar>
              <w:top w:w="80" w:type="dxa"/>
              <w:left w:w="100" w:type="dxa"/>
              <w:bottom w:w="80" w:type="dxa"/>
              <w:right w:w="100" w:type="dxa"/>
            </w:tcMar>
          </w:tcPr>
          <w:p w14:paraId="66B4129B">
            <w:pPr>
              <w:jc w:val="left"/>
            </w:pPr>
            <w:r>
              <w:rPr>
                <w:b w:val="0"/>
                <w:bCs w:val="0"/>
                <w:color w:val="000000"/>
                <w:sz w:val="19"/>
                <w:szCs w:val="19"/>
              </w:rPr>
              <w:t>30.11%</w:t>
            </w:r>
          </w:p>
        </w:tc>
        <w:tc>
          <w:tcPr>
            <w:tcW w:w="1950" w:type="dxa"/>
            <w:tcMar>
              <w:top w:w="80" w:type="dxa"/>
              <w:left w:w="100" w:type="dxa"/>
              <w:bottom w:w="80" w:type="dxa"/>
              <w:right w:w="100" w:type="dxa"/>
            </w:tcMar>
          </w:tcPr>
          <w:p w14:paraId="5F5E46DF">
            <w:pPr>
              <w:jc w:val="left"/>
            </w:pPr>
            <w:r>
              <w:rPr>
                <w:b w:val="0"/>
                <w:bCs w:val="0"/>
                <w:color w:val="000000"/>
                <w:sz w:val="19"/>
                <w:szCs w:val="19"/>
              </w:rPr>
              <w:t>4,16,82,908.16</w:t>
            </w:r>
          </w:p>
        </w:tc>
        <w:tc>
          <w:tcPr>
            <w:tcW w:w="1950" w:type="dxa"/>
            <w:tcMar>
              <w:top w:w="80" w:type="dxa"/>
              <w:left w:w="100" w:type="dxa"/>
              <w:bottom w:w="80" w:type="dxa"/>
              <w:right w:w="100" w:type="dxa"/>
            </w:tcMar>
          </w:tcPr>
          <w:p w14:paraId="5CA2D19E">
            <w:pPr>
              <w:jc w:val="left"/>
            </w:pPr>
            <w:r>
              <w:rPr>
                <w:b w:val="0"/>
                <w:bCs w:val="0"/>
                <w:color w:val="000000"/>
                <w:sz w:val="19"/>
                <w:szCs w:val="19"/>
              </w:rPr>
              <w:t>-41,05,062.37</w:t>
            </w:r>
          </w:p>
        </w:tc>
        <w:tc>
          <w:tcPr>
            <w:tcW w:w="1150" w:type="dxa"/>
            <w:tcMar>
              <w:top w:w="80" w:type="dxa"/>
              <w:left w:w="100" w:type="dxa"/>
              <w:bottom w:w="80" w:type="dxa"/>
              <w:right w:w="100" w:type="dxa"/>
            </w:tcMar>
          </w:tcPr>
          <w:p w14:paraId="628B5B6E">
            <w:pPr>
              <w:jc w:val="left"/>
            </w:pPr>
            <w:r>
              <w:rPr>
                <w:b w:val="0"/>
                <w:bCs w:val="0"/>
                <w:color w:val="000000"/>
                <w:sz w:val="19"/>
                <w:szCs w:val="19"/>
              </w:rPr>
              <w:t>-9.85%</w:t>
            </w:r>
          </w:p>
        </w:tc>
        <w:tc>
          <w:tcPr>
            <w:tcW w:w="1450" w:type="dxa"/>
            <w:tcMar>
              <w:top w:w="80" w:type="dxa"/>
              <w:left w:w="100" w:type="dxa"/>
              <w:bottom w:w="80" w:type="dxa"/>
              <w:right w:w="100" w:type="dxa"/>
            </w:tcMar>
          </w:tcPr>
          <w:p w14:paraId="1185B3DC">
            <w:pPr>
              <w:jc w:val="left"/>
            </w:pPr>
            <w:r>
              <w:rPr>
                <w:b w:val="0"/>
                <w:bCs w:val="0"/>
                <w:color w:val="000000"/>
                <w:sz w:val="19"/>
                <w:szCs w:val="19"/>
              </w:rPr>
              <w:t>72.77%</w:t>
            </w:r>
          </w:p>
        </w:tc>
      </w:tr>
      <w:tr w14:paraId="6175C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50" w:type="dxa"/>
            <w:shd w:val="clear" w:color="auto" w:fill="F2F2F2"/>
            <w:tcMar>
              <w:top w:w="80" w:type="dxa"/>
              <w:left w:w="100" w:type="dxa"/>
              <w:bottom w:w="80" w:type="dxa"/>
              <w:right w:w="100" w:type="dxa"/>
            </w:tcMar>
          </w:tcPr>
          <w:p w14:paraId="287F0D86">
            <w:pPr>
              <w:jc w:val="left"/>
            </w:pPr>
            <w:r>
              <w:rPr>
                <w:b w:val="0"/>
                <w:bCs w:val="0"/>
                <w:color w:val="000000"/>
                <w:sz w:val="19"/>
                <w:szCs w:val="19"/>
              </w:rPr>
              <w:t>2025</w:t>
            </w:r>
          </w:p>
        </w:tc>
        <w:tc>
          <w:tcPr>
            <w:tcW w:w="1650" w:type="dxa"/>
            <w:shd w:val="clear" w:color="auto" w:fill="F2F2F2"/>
            <w:tcMar>
              <w:top w:w="80" w:type="dxa"/>
              <w:left w:w="100" w:type="dxa"/>
              <w:bottom w:w="80" w:type="dxa"/>
              <w:right w:w="100" w:type="dxa"/>
            </w:tcMar>
          </w:tcPr>
          <w:p w14:paraId="281D8021">
            <w:pPr>
              <w:jc w:val="left"/>
            </w:pPr>
            <w:r>
              <w:rPr>
                <w:b w:val="0"/>
                <w:bCs w:val="0"/>
                <w:color w:val="000000"/>
                <w:sz w:val="19"/>
                <w:szCs w:val="19"/>
              </w:rPr>
              <w:t>31.82%</w:t>
            </w:r>
          </w:p>
        </w:tc>
        <w:tc>
          <w:tcPr>
            <w:tcW w:w="1950" w:type="dxa"/>
            <w:shd w:val="clear" w:color="auto" w:fill="F2F2F2"/>
            <w:tcMar>
              <w:top w:w="80" w:type="dxa"/>
              <w:left w:w="100" w:type="dxa"/>
              <w:bottom w:w="80" w:type="dxa"/>
              <w:right w:w="100" w:type="dxa"/>
            </w:tcMar>
          </w:tcPr>
          <w:p w14:paraId="20E35041">
            <w:pPr>
              <w:jc w:val="left"/>
            </w:pPr>
            <w:r>
              <w:rPr>
                <w:b w:val="0"/>
                <w:bCs w:val="0"/>
                <w:color w:val="000000"/>
                <w:sz w:val="19"/>
                <w:szCs w:val="19"/>
              </w:rPr>
              <w:t>7,77,40,940.86</w:t>
            </w:r>
          </w:p>
        </w:tc>
        <w:tc>
          <w:tcPr>
            <w:tcW w:w="1950" w:type="dxa"/>
            <w:shd w:val="clear" w:color="auto" w:fill="F2F2F2"/>
            <w:tcMar>
              <w:top w:w="80" w:type="dxa"/>
              <w:left w:w="100" w:type="dxa"/>
              <w:bottom w:w="80" w:type="dxa"/>
              <w:right w:w="100" w:type="dxa"/>
            </w:tcMar>
          </w:tcPr>
          <w:p w14:paraId="01AC86CE">
            <w:pPr>
              <w:jc w:val="left"/>
            </w:pPr>
            <w:r>
              <w:rPr>
                <w:b w:val="0"/>
                <w:bCs w:val="0"/>
                <w:color w:val="000000"/>
                <w:sz w:val="19"/>
                <w:szCs w:val="19"/>
              </w:rPr>
              <w:t>-1,02,56,876.11</w:t>
            </w:r>
          </w:p>
        </w:tc>
        <w:tc>
          <w:tcPr>
            <w:tcW w:w="1150" w:type="dxa"/>
            <w:shd w:val="clear" w:color="auto" w:fill="F2F2F2"/>
            <w:tcMar>
              <w:top w:w="80" w:type="dxa"/>
              <w:left w:w="100" w:type="dxa"/>
              <w:bottom w:w="80" w:type="dxa"/>
              <w:right w:w="100" w:type="dxa"/>
            </w:tcMar>
          </w:tcPr>
          <w:p w14:paraId="189A0875">
            <w:pPr>
              <w:jc w:val="left"/>
            </w:pPr>
            <w:r>
              <w:rPr>
                <w:b w:val="0"/>
                <w:bCs w:val="0"/>
                <w:color w:val="000000"/>
                <w:sz w:val="19"/>
                <w:szCs w:val="19"/>
              </w:rPr>
              <w:t>-13.19%</w:t>
            </w:r>
          </w:p>
        </w:tc>
        <w:tc>
          <w:tcPr>
            <w:tcW w:w="1450" w:type="dxa"/>
            <w:shd w:val="clear" w:color="auto" w:fill="F2F2F2"/>
            <w:tcMar>
              <w:top w:w="80" w:type="dxa"/>
              <w:left w:w="100" w:type="dxa"/>
              <w:bottom w:w="80" w:type="dxa"/>
              <w:right w:w="100" w:type="dxa"/>
            </w:tcMar>
          </w:tcPr>
          <w:p w14:paraId="55D11C6E">
            <w:pPr>
              <w:jc w:val="left"/>
            </w:pPr>
            <w:r>
              <w:rPr>
                <w:b w:val="0"/>
                <w:bCs w:val="0"/>
                <w:color w:val="000000"/>
                <w:sz w:val="19"/>
                <w:szCs w:val="19"/>
              </w:rPr>
              <w:t>78.48%</w:t>
            </w:r>
          </w:p>
        </w:tc>
      </w:tr>
    </w:tbl>
    <w:p w14:paraId="4430D896">
      <w:pPr>
        <w:spacing w:after="150" w:line="276" w:lineRule="auto"/>
      </w:pPr>
      <w:r>
        <w:rPr>
          <w:sz w:val="21"/>
          <w:szCs w:val="21"/>
        </w:rPr>
        <w:t>October's revenue nearly doubled from 2024 to 2025, but both the discount level and the loss-item share also increased, and the margin worsened rather than improved — indicating that scaling October's sales volume did not resolve the underlying profitability issue, and if anything, amplified it.</w:t>
      </w:r>
    </w:p>
    <w:p w14:paraId="3DDAF910">
      <w:pPr>
        <w:pStyle w:val="3"/>
        <w:spacing w:before="300" w:after="150"/>
      </w:pPr>
      <w:r>
        <w:rPr>
          <w:b/>
          <w:bCs/>
          <w:color w:val="7B241C"/>
          <w:sz w:val="24"/>
          <w:szCs w:val="24"/>
        </w:rPr>
        <w:t>4.3 Identified Driver</w:t>
      </w:r>
    </w:p>
    <w:p w14:paraId="69E0D8AF">
      <w:pPr>
        <w:spacing w:after="150" w:line="276" w:lineRule="auto"/>
      </w:pPr>
      <w:r>
        <w:rPr>
          <w:sz w:val="21"/>
          <w:szCs w:val="21"/>
        </w:rPr>
        <w:t>The diagnostic analysis indicates that an aggressive, near-universal spike in discount depth during October is associated with the sharp rise in loss-making items and the corresponding margin collapse. Because the effect appears consistently across all 8 categories, including ones with strong baseline profitability, it points toward a broad discounting pattern in October (plausibly tied to a festive/seasonal sale period) rather than a category-specific issue. The pattern has worsened from 2024 to 2025, both in discount depth and in resulting margin.</w:t>
      </w:r>
    </w:p>
    <w:p w14:paraId="24795028">
      <w:pPr>
        <w:pStyle w:val="3"/>
        <w:spacing w:before="300" w:after="150"/>
      </w:pPr>
      <w:r>
        <w:rPr>
          <w:b/>
          <w:bCs/>
          <w:color w:val="7B241C"/>
          <w:sz w:val="24"/>
          <w:szCs w:val="24"/>
        </w:rPr>
        <w:t>4.4 Recommended Actions</w:t>
      </w:r>
    </w:p>
    <w:p w14:paraId="5BEFD30A">
      <w:pPr>
        <w:pStyle w:val="18"/>
        <w:numPr>
          <w:ilvl w:val="0"/>
          <w:numId w:val="1"/>
        </w:numPr>
        <w:spacing w:after="80" w:line="270" w:lineRule="auto"/>
      </w:pPr>
      <w:r>
        <w:rPr>
          <w:b/>
          <w:bCs/>
          <w:sz w:val="21"/>
          <w:szCs w:val="21"/>
        </w:rPr>
        <w:t xml:space="preserve">Category-specific festive discount ceilings: </w:t>
      </w:r>
      <w:r>
        <w:rPr>
          <w:sz w:val="21"/>
          <w:szCs w:val="21"/>
        </w:rPr>
        <w:t>rather than a blanket festive discount policy, set maximum discount levels that vary by category based on each category's base margin (e.g., tighter limits for Electronics and Grocery than for Beauty &amp; Personal Care).</w:t>
      </w:r>
    </w:p>
    <w:p w14:paraId="04AF43FC">
      <w:pPr>
        <w:pStyle w:val="18"/>
        <w:numPr>
          <w:ilvl w:val="0"/>
          <w:numId w:val="1"/>
        </w:numPr>
        <w:spacing w:after="80" w:line="270" w:lineRule="auto"/>
      </w:pPr>
      <w:r>
        <w:rPr>
          <w:b/>
          <w:bCs/>
          <w:sz w:val="21"/>
          <w:szCs w:val="21"/>
        </w:rPr>
        <w:t xml:space="preserve">Margin-aware promotions: </w:t>
      </w:r>
      <w:r>
        <w:rPr>
          <w:sz w:val="21"/>
          <w:szCs w:val="21"/>
        </w:rPr>
        <w:t>evaluate proposed October promotions against the expected post-discount margin before launch, rather than by discount depth or expected volume alone.</w:t>
      </w:r>
    </w:p>
    <w:p w14:paraId="1FE9FD4B">
      <w:pPr>
        <w:pStyle w:val="18"/>
        <w:numPr>
          <w:ilvl w:val="0"/>
          <w:numId w:val="1"/>
        </w:numPr>
        <w:spacing w:after="80" w:line="270" w:lineRule="auto"/>
      </w:pPr>
      <w:r>
        <w:rPr>
          <w:b/>
          <w:bCs/>
          <w:sz w:val="21"/>
          <w:szCs w:val="21"/>
        </w:rPr>
        <w:t xml:space="preserve">Move away from blanket discounting: </w:t>
      </w:r>
      <w:r>
        <w:rPr>
          <w:sz w:val="21"/>
          <w:szCs w:val="21"/>
        </w:rPr>
        <w:t>the uniform ~15-17-point margin drop across categories suggests festive discounts may currently be set at a similar depth for all categories; differentiating by category is likely to reduce the extent of the collapse.</w:t>
      </w:r>
    </w:p>
    <w:p w14:paraId="6F247DD4">
      <w:pPr>
        <w:pStyle w:val="18"/>
        <w:numPr>
          <w:ilvl w:val="0"/>
          <w:numId w:val="1"/>
        </w:numPr>
        <w:spacing w:after="80" w:line="270" w:lineRule="auto"/>
      </w:pPr>
      <w:r>
        <w:rPr>
          <w:b/>
          <w:bCs/>
          <w:sz w:val="21"/>
          <w:szCs w:val="21"/>
        </w:rPr>
        <w:t xml:space="preserve">Exclude structurally low-margin products from deep-discount campaigns: </w:t>
      </w:r>
      <w:r>
        <w:rPr>
          <w:sz w:val="21"/>
          <w:szCs w:val="21"/>
        </w:rPr>
        <w:t>Grocery and Electronics products, already thin-margin for the rest of the year, are the most exposed to large discounts and could be given narrower discount bands during festive campaigns.</w:t>
      </w:r>
    </w:p>
    <w:p w14:paraId="11B1DC8B">
      <w:pPr>
        <w:pStyle w:val="18"/>
        <w:numPr>
          <w:ilvl w:val="0"/>
          <w:numId w:val="1"/>
        </w:numPr>
        <w:spacing w:after="80" w:line="270" w:lineRule="auto"/>
      </w:pPr>
      <w:r>
        <w:rPr>
          <w:b/>
          <w:bCs/>
          <w:sz w:val="21"/>
          <w:szCs w:val="21"/>
        </w:rPr>
        <w:t xml:space="preserve">Monitor campaign profitability during the campaign, not only after: </w:t>
      </w:r>
      <w:r>
        <w:rPr>
          <w:sz w:val="21"/>
          <w:szCs w:val="21"/>
        </w:rPr>
        <w:t>given that 2025 October showed both higher discounting and a worse margin than 2024, tracking margin in real time during the campaign period could allow early correction.</w:t>
      </w:r>
    </w:p>
    <w:p w14:paraId="588EFB67">
      <w:pPr>
        <w:pStyle w:val="18"/>
        <w:numPr>
          <w:ilvl w:val="0"/>
          <w:numId w:val="1"/>
        </w:numPr>
        <w:spacing w:after="80" w:line="270" w:lineRule="auto"/>
      </w:pPr>
      <w:r>
        <w:rPr>
          <w:b/>
          <w:bCs/>
          <w:sz w:val="21"/>
          <w:szCs w:val="21"/>
        </w:rPr>
        <w:t xml:space="preserve">Set a minimum contribution-margin rule for promotional approval: </w:t>
      </w:r>
      <w:r>
        <w:rPr>
          <w:sz w:val="21"/>
          <w:szCs w:val="21"/>
        </w:rPr>
        <w:t>require that a proposed discount not push a product's expected margin below a defined floor before the promotion is approved.</w:t>
      </w:r>
    </w:p>
    <w:p w14:paraId="5C21E395">
      <w:pPr>
        <w:pStyle w:val="3"/>
        <w:spacing w:before="300" w:after="150"/>
      </w:pPr>
      <w:r>
        <w:rPr>
          <w:b/>
          <w:bCs/>
          <w:color w:val="7B241C"/>
          <w:sz w:val="24"/>
          <w:szCs w:val="24"/>
        </w:rPr>
        <w:t>4.5 Business Implication</w:t>
      </w:r>
    </w:p>
    <w:p w14:paraId="5AFDBA5D">
      <w:pPr>
        <w:spacing w:after="150" w:line="276" w:lineRule="auto"/>
      </w:pPr>
      <w:r>
        <w:rPr>
          <w:sz w:val="21"/>
          <w:szCs w:val="21"/>
        </w:rPr>
        <w:t>October currently functions as a period of high sales volume but negative overall contribution to profit, and this pattern is repeating and intensifying rather than self-correcting. Increasing festive sales volume without adjusting discount strategy is unlikely to improve profitability — the 2024-to-2025 comparison shows that a near-doubling of October revenue coincided with a worsening, not improving, margin. Any strategy aimed at BharatKart's overall profitability needs to specifically address the October/Q4 period rather than assuming volume growth alone will resolve it.</w:t>
      </w:r>
    </w:p>
    <w:p w14:paraId="65AD26E1">
      <w:r>
        <w:br w:type="page"/>
      </w:r>
    </w:p>
    <w:p w14:paraId="188887F3">
      <w:pPr>
        <w:pStyle w:val="2"/>
        <w:pBdr>
          <w:bottom w:val="single" w:color="1F3864" w:sz="6" w:space="4"/>
        </w:pBdr>
        <w:spacing w:before="400" w:after="200"/>
      </w:pPr>
      <w:r>
        <w:rPr>
          <w:b/>
          <w:bCs/>
          <w:color w:val="1F3864"/>
          <w:sz w:val="30"/>
          <w:szCs w:val="30"/>
        </w:rPr>
        <w:t>5. Problem 3 — Customer Behaviour</w:t>
      </w:r>
    </w:p>
    <w:p w14:paraId="37CF29EA">
      <w:pPr>
        <w:pBdr>
          <w:left w:val="single" w:color="1F3864" w:sz="18" w:space="8"/>
        </w:pBdr>
        <w:spacing w:before="150" w:after="150"/>
        <w:ind w:left="300"/>
      </w:pPr>
      <w:r>
        <w:rPr>
          <w:i/>
          <w:iCs/>
          <w:color w:val="1A1A1A"/>
          <w:sz w:val="21"/>
          <w:szCs w:val="21"/>
        </w:rPr>
        <w:t>Why are most customers not becoming repeat customers, and why do VIP customers have the lowest margin?</w:t>
      </w:r>
    </w:p>
    <w:p w14:paraId="1D3DE0FC">
      <w:pPr>
        <w:pStyle w:val="3"/>
        <w:spacing w:before="300" w:after="150"/>
      </w:pPr>
      <w:r>
        <w:rPr>
          <w:b/>
          <w:bCs/>
          <w:color w:val="7B241C"/>
          <w:sz w:val="24"/>
          <w:szCs w:val="24"/>
        </w:rPr>
        <w:t>5.1 Problem</w:t>
      </w:r>
    </w:p>
    <w:p w14:paraId="44ECCD1E">
      <w:pPr>
        <w:spacing w:after="150" w:line="276" w:lineRule="auto"/>
      </w:pPr>
      <w:r>
        <w:rPr>
          <w:sz w:val="21"/>
          <w:szCs w:val="21"/>
        </w:rPr>
        <w:t>Report 1 showed that 61.5% of customers with a delivered order placed exactly one order, and that VIP customers — while contributing 10.57% of delivered revenue from just 381 customers — recorded the lowest profit margin of the three customer segments (1.58%, vs. 2.47% for both New and Repeat). This section investigates what distinguishes VIP customers' profitability and what is associated with customers not returning for a second order.</w:t>
      </w:r>
    </w:p>
    <w:p w14:paraId="595BFE07">
      <w:pPr>
        <w:pStyle w:val="3"/>
        <w:spacing w:before="300" w:after="150"/>
      </w:pPr>
      <w:r>
        <w:rPr>
          <w:b/>
          <w:bCs/>
          <w:color w:val="7B241C"/>
          <w:sz w:val="24"/>
          <w:szCs w:val="24"/>
        </w:rPr>
        <w:t>5.2 Diagnostic Evidence</w:t>
      </w:r>
    </w:p>
    <w:p w14:paraId="5BD0BE7D">
      <w:pPr>
        <w:spacing w:after="150" w:line="276" w:lineRule="auto"/>
      </w:pPr>
      <w:r>
        <w:rPr>
          <w:sz w:val="21"/>
          <w:szCs w:val="21"/>
        </w:rPr>
        <w:t>Contrary to an initial expectation that VIP customers might simply receive larger discounts, the segment-level comparison shows the opposite:</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000"/>
        <w:gridCol w:w="3000"/>
      </w:tblGrid>
      <w:tr w14:paraId="0112B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shd w:val="clear" w:color="auto" w:fill="1F3864"/>
            <w:tcMar>
              <w:top w:w="80" w:type="dxa"/>
              <w:left w:w="100" w:type="dxa"/>
              <w:bottom w:w="80" w:type="dxa"/>
              <w:right w:w="100" w:type="dxa"/>
            </w:tcMar>
          </w:tcPr>
          <w:p w14:paraId="1F1D6010">
            <w:pPr>
              <w:jc w:val="center"/>
            </w:pPr>
            <w:r>
              <w:rPr>
                <w:b/>
                <w:bCs/>
                <w:color w:val="FFFFFF"/>
                <w:sz w:val="19"/>
                <w:szCs w:val="19"/>
              </w:rPr>
              <w:t>Segment</w:t>
            </w:r>
          </w:p>
        </w:tc>
        <w:tc>
          <w:tcPr>
            <w:tcW w:w="3000" w:type="dxa"/>
            <w:shd w:val="clear" w:color="auto" w:fill="1F3864"/>
            <w:tcMar>
              <w:top w:w="80" w:type="dxa"/>
              <w:left w:w="100" w:type="dxa"/>
              <w:bottom w:w="80" w:type="dxa"/>
              <w:right w:w="100" w:type="dxa"/>
            </w:tcMar>
          </w:tcPr>
          <w:p w14:paraId="74FCD1A1">
            <w:pPr>
              <w:jc w:val="center"/>
            </w:pPr>
            <w:r>
              <w:rPr>
                <w:b/>
                <w:bCs/>
                <w:color w:val="FFFFFF"/>
                <w:sz w:val="19"/>
                <w:szCs w:val="19"/>
              </w:rPr>
              <w:t>Avg. Discount %</w:t>
            </w:r>
          </w:p>
        </w:tc>
        <w:tc>
          <w:tcPr>
            <w:tcW w:w="3000" w:type="dxa"/>
            <w:shd w:val="clear" w:color="auto" w:fill="1F3864"/>
            <w:tcMar>
              <w:top w:w="80" w:type="dxa"/>
              <w:left w:w="100" w:type="dxa"/>
              <w:bottom w:w="80" w:type="dxa"/>
              <w:right w:w="100" w:type="dxa"/>
            </w:tcMar>
          </w:tcPr>
          <w:p w14:paraId="37E1DBE9">
            <w:pPr>
              <w:jc w:val="center"/>
            </w:pPr>
            <w:r>
              <w:rPr>
                <w:b/>
                <w:bCs/>
                <w:color w:val="FFFFFF"/>
                <w:sz w:val="19"/>
                <w:szCs w:val="19"/>
              </w:rPr>
              <w:t>Margin %</w:t>
            </w:r>
          </w:p>
        </w:tc>
      </w:tr>
      <w:tr w14:paraId="1D1B2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6A243632">
            <w:pPr>
              <w:jc w:val="left"/>
            </w:pPr>
            <w:r>
              <w:rPr>
                <w:b w:val="0"/>
                <w:bCs w:val="0"/>
                <w:color w:val="000000"/>
                <w:sz w:val="19"/>
                <w:szCs w:val="19"/>
              </w:rPr>
              <w:t>New</w:t>
            </w:r>
          </w:p>
        </w:tc>
        <w:tc>
          <w:tcPr>
            <w:tcW w:w="3000" w:type="dxa"/>
            <w:tcMar>
              <w:top w:w="80" w:type="dxa"/>
              <w:left w:w="100" w:type="dxa"/>
              <w:bottom w:w="80" w:type="dxa"/>
              <w:right w:w="100" w:type="dxa"/>
            </w:tcMar>
          </w:tcPr>
          <w:p w14:paraId="42122482">
            <w:pPr>
              <w:jc w:val="left"/>
            </w:pPr>
            <w:r>
              <w:rPr>
                <w:b w:val="0"/>
                <w:bCs w:val="0"/>
                <w:color w:val="000000"/>
                <w:sz w:val="19"/>
                <w:szCs w:val="19"/>
              </w:rPr>
              <w:t>20.50%</w:t>
            </w:r>
          </w:p>
        </w:tc>
        <w:tc>
          <w:tcPr>
            <w:tcW w:w="3000" w:type="dxa"/>
            <w:tcMar>
              <w:top w:w="80" w:type="dxa"/>
              <w:left w:w="100" w:type="dxa"/>
              <w:bottom w:w="80" w:type="dxa"/>
              <w:right w:w="100" w:type="dxa"/>
            </w:tcMar>
          </w:tcPr>
          <w:p w14:paraId="0C52B0E9">
            <w:pPr>
              <w:jc w:val="left"/>
            </w:pPr>
            <w:r>
              <w:rPr>
                <w:b w:val="0"/>
                <w:bCs w:val="0"/>
                <w:color w:val="000000"/>
                <w:sz w:val="19"/>
                <w:szCs w:val="19"/>
              </w:rPr>
              <w:t>2.47%</w:t>
            </w:r>
          </w:p>
        </w:tc>
      </w:tr>
      <w:tr w14:paraId="66EF9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80" w:type="dxa"/>
              <w:left w:w="100" w:type="dxa"/>
              <w:bottom w:w="80" w:type="dxa"/>
              <w:right w:w="100" w:type="dxa"/>
            </w:tcMar>
          </w:tcPr>
          <w:p w14:paraId="646D0C8C">
            <w:pPr>
              <w:jc w:val="left"/>
            </w:pPr>
            <w:r>
              <w:rPr>
                <w:b w:val="0"/>
                <w:bCs w:val="0"/>
                <w:color w:val="000000"/>
                <w:sz w:val="19"/>
                <w:szCs w:val="19"/>
              </w:rPr>
              <w:t>Repeat</w:t>
            </w:r>
          </w:p>
        </w:tc>
        <w:tc>
          <w:tcPr>
            <w:tcW w:w="3000" w:type="dxa"/>
            <w:shd w:val="clear" w:color="auto" w:fill="F2F2F2"/>
            <w:tcMar>
              <w:top w:w="80" w:type="dxa"/>
              <w:left w:w="100" w:type="dxa"/>
              <w:bottom w:w="80" w:type="dxa"/>
              <w:right w:w="100" w:type="dxa"/>
            </w:tcMar>
          </w:tcPr>
          <w:p w14:paraId="3AD35FCE">
            <w:pPr>
              <w:jc w:val="left"/>
            </w:pPr>
            <w:r>
              <w:rPr>
                <w:b w:val="0"/>
                <w:bCs w:val="0"/>
                <w:color w:val="000000"/>
                <w:sz w:val="19"/>
                <w:szCs w:val="19"/>
              </w:rPr>
              <w:t>20.60%</w:t>
            </w:r>
          </w:p>
        </w:tc>
        <w:tc>
          <w:tcPr>
            <w:tcW w:w="3000" w:type="dxa"/>
            <w:shd w:val="clear" w:color="auto" w:fill="F2F2F2"/>
            <w:tcMar>
              <w:top w:w="80" w:type="dxa"/>
              <w:left w:w="100" w:type="dxa"/>
              <w:bottom w:w="80" w:type="dxa"/>
              <w:right w:w="100" w:type="dxa"/>
            </w:tcMar>
          </w:tcPr>
          <w:p w14:paraId="0C038F90">
            <w:pPr>
              <w:jc w:val="left"/>
            </w:pPr>
            <w:r>
              <w:rPr>
                <w:b w:val="0"/>
                <w:bCs w:val="0"/>
                <w:color w:val="000000"/>
                <w:sz w:val="19"/>
                <w:szCs w:val="19"/>
              </w:rPr>
              <w:t>2.47%</w:t>
            </w:r>
          </w:p>
        </w:tc>
      </w:tr>
      <w:tr w14:paraId="0E9AA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541E598C">
            <w:pPr>
              <w:jc w:val="left"/>
            </w:pPr>
            <w:r>
              <w:rPr>
                <w:b w:val="0"/>
                <w:bCs w:val="0"/>
                <w:color w:val="000000"/>
                <w:sz w:val="19"/>
                <w:szCs w:val="19"/>
              </w:rPr>
              <w:t>VIP</w:t>
            </w:r>
          </w:p>
        </w:tc>
        <w:tc>
          <w:tcPr>
            <w:tcW w:w="3000" w:type="dxa"/>
            <w:tcMar>
              <w:top w:w="80" w:type="dxa"/>
              <w:left w:w="100" w:type="dxa"/>
              <w:bottom w:w="80" w:type="dxa"/>
              <w:right w:w="100" w:type="dxa"/>
            </w:tcMar>
          </w:tcPr>
          <w:p w14:paraId="5B4DC21F">
            <w:pPr>
              <w:jc w:val="left"/>
            </w:pPr>
            <w:r>
              <w:rPr>
                <w:b w:val="0"/>
                <w:bCs w:val="0"/>
                <w:color w:val="000000"/>
                <w:sz w:val="19"/>
                <w:szCs w:val="19"/>
              </w:rPr>
              <w:t>20.11%</w:t>
            </w:r>
          </w:p>
        </w:tc>
        <w:tc>
          <w:tcPr>
            <w:tcW w:w="3000" w:type="dxa"/>
            <w:tcMar>
              <w:top w:w="80" w:type="dxa"/>
              <w:left w:w="100" w:type="dxa"/>
              <w:bottom w:w="80" w:type="dxa"/>
              <w:right w:w="100" w:type="dxa"/>
            </w:tcMar>
          </w:tcPr>
          <w:p w14:paraId="5EC1CBF8">
            <w:pPr>
              <w:jc w:val="left"/>
            </w:pPr>
            <w:r>
              <w:rPr>
                <w:b w:val="0"/>
                <w:bCs w:val="0"/>
                <w:color w:val="000000"/>
                <w:sz w:val="19"/>
                <w:szCs w:val="19"/>
              </w:rPr>
              <w:t>1.58%</w:t>
            </w:r>
          </w:p>
        </w:tc>
      </w:tr>
    </w:tbl>
    <w:p w14:paraId="3D8A451C">
      <w:pPr>
        <w:pStyle w:val="16"/>
        <w:keepNext w:val="0"/>
        <w:keepLines w:val="0"/>
        <w:widowControl/>
        <w:suppressLineNumbers w:val="0"/>
        <w:rPr>
          <w:sz w:val="21"/>
          <w:szCs w:val="21"/>
        </w:rPr>
      </w:pPr>
      <w:r>
        <w:rPr>
          <w:sz w:val="21"/>
          <w:szCs w:val="21"/>
        </w:rPr>
        <w:t>VIP customers receive, on average, the lowest discount of the three segments, yet still record the lowest margin — ruling out discount depth as the explanation for VIP's weaker profitability. Examining category mix by segment instead, VIP customers' Electronics spend represents approximately 66.45% of their total revenue (₹6,11,71,178.80 of ₹9,20,50,863.29), compared to roughly 43-47% for New and Repeat customers. Electronics is a structurally negative-margin category — VIP customers' high category concentration in Electronics directly aligns with their lower overall margin.</w:t>
      </w:r>
    </w:p>
    <w:p w14:paraId="567FF557">
      <w:pPr>
        <w:pStyle w:val="16"/>
        <w:keepNext w:val="0"/>
        <w:keepLines w:val="0"/>
        <w:widowControl/>
        <w:suppressLineNumbers w:val="0"/>
        <w:rPr>
          <w:sz w:val="21"/>
          <w:szCs w:val="21"/>
        </w:rPr>
      </w:pPr>
      <w:r>
        <w:rPr>
          <w:sz w:val="21"/>
          <w:szCs w:val="21"/>
        </w:rPr>
        <w:t>Order-frequency analysis shows discount behaviour is essentially flat across all frequency buckets (1 order: 20.53% avg. discount; 2 orders: 20.49%; 3-5 orders: 20.57%; 6+ orders: 20.55%), indicating one-time customers are not being disproportionately discounted, nor are frequent customers receiving preferential pricing.</w:t>
      </w:r>
      <w:r>
        <w:rPr>
          <w:rFonts w:hint="default"/>
          <w:sz w:val="21"/>
          <w:szCs w:val="21"/>
          <w:lang w:val="en-US"/>
        </w:rPr>
        <w:t xml:space="preserve"> </w:t>
      </w:r>
      <w:r>
        <w:rPr>
          <w:sz w:val="21"/>
          <w:szCs w:val="21"/>
        </w:rPr>
        <w:t>Customer acquisition timing does show a meaningful pattern: evaluating true customer entry dates across all orders shows that buyers acquired during the October festive period exhibit a significantly lower LTV and higher churn profile compared to non-festive acquisitions:</w:t>
      </w:r>
    </w:p>
    <w:tbl>
      <w:tblPr>
        <w:tblStyle w:val="9"/>
        <w:tblW w:w="9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2100"/>
        <w:gridCol w:w="2300"/>
        <w:gridCol w:w="2000"/>
      </w:tblGrid>
      <w:tr w14:paraId="3349B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700" w:type="dxa"/>
            <w:shd w:val="clear" w:color="auto" w:fill="1F3864"/>
            <w:tcMar>
              <w:top w:w="80" w:type="dxa"/>
              <w:left w:w="100" w:type="dxa"/>
              <w:bottom w:w="80" w:type="dxa"/>
              <w:right w:w="100" w:type="dxa"/>
            </w:tcMar>
          </w:tcPr>
          <w:p w14:paraId="0DD1C5BB">
            <w:pPr>
              <w:jc w:val="center"/>
            </w:pPr>
            <w:r>
              <w:rPr>
                <w:b/>
                <w:bCs/>
                <w:color w:val="FFFFFF"/>
                <w:sz w:val="19"/>
                <w:szCs w:val="19"/>
              </w:rPr>
              <w:t>Acquisition Group</w:t>
            </w:r>
          </w:p>
        </w:tc>
        <w:tc>
          <w:tcPr>
            <w:tcW w:w="2100" w:type="dxa"/>
            <w:shd w:val="clear" w:color="auto" w:fill="1F3864"/>
            <w:tcMar>
              <w:top w:w="80" w:type="dxa"/>
              <w:left w:w="100" w:type="dxa"/>
              <w:bottom w:w="80" w:type="dxa"/>
              <w:right w:w="100" w:type="dxa"/>
            </w:tcMar>
          </w:tcPr>
          <w:p w14:paraId="08154C2F">
            <w:pPr>
              <w:jc w:val="center"/>
            </w:pPr>
            <w:r>
              <w:rPr>
                <w:b/>
                <w:bCs/>
                <w:color w:val="FFFFFF"/>
                <w:sz w:val="19"/>
                <w:szCs w:val="19"/>
              </w:rPr>
              <w:t>Total Customers</w:t>
            </w:r>
          </w:p>
        </w:tc>
        <w:tc>
          <w:tcPr>
            <w:tcW w:w="2300" w:type="dxa"/>
            <w:shd w:val="clear" w:color="auto" w:fill="1F3864"/>
            <w:tcMar>
              <w:top w:w="80" w:type="dxa"/>
              <w:left w:w="100" w:type="dxa"/>
              <w:bottom w:w="80" w:type="dxa"/>
              <w:right w:w="100" w:type="dxa"/>
            </w:tcMar>
          </w:tcPr>
          <w:p w14:paraId="33EA5FB9">
            <w:pPr>
              <w:jc w:val="center"/>
            </w:pPr>
            <w:r>
              <w:rPr>
                <w:b/>
                <w:bCs/>
                <w:color w:val="FFFFFF"/>
                <w:sz w:val="19"/>
                <w:szCs w:val="19"/>
              </w:rPr>
              <w:t>Avg. Orders/Customer</w:t>
            </w:r>
          </w:p>
        </w:tc>
        <w:tc>
          <w:tcPr>
            <w:tcW w:w="2000" w:type="dxa"/>
            <w:shd w:val="clear" w:color="auto" w:fill="1F3864"/>
            <w:tcMar>
              <w:top w:w="80" w:type="dxa"/>
              <w:left w:w="100" w:type="dxa"/>
              <w:bottom w:w="80" w:type="dxa"/>
              <w:right w:w="100" w:type="dxa"/>
            </w:tcMar>
          </w:tcPr>
          <w:p w14:paraId="2636DA7A">
            <w:pPr>
              <w:jc w:val="center"/>
            </w:pPr>
            <w:r>
              <w:rPr>
                <w:b/>
                <w:bCs/>
                <w:color w:val="FFFFFF"/>
                <w:sz w:val="19"/>
                <w:szCs w:val="19"/>
              </w:rPr>
              <w:t>One-Time Rate %</w:t>
            </w:r>
          </w:p>
        </w:tc>
      </w:tr>
      <w:tr w14:paraId="606C4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Mar>
              <w:top w:w="80" w:type="dxa"/>
              <w:left w:w="100" w:type="dxa"/>
              <w:bottom w:w="80" w:type="dxa"/>
              <w:right w:w="100" w:type="dxa"/>
            </w:tcMar>
          </w:tcPr>
          <w:p w14:paraId="1B3ACFE8">
            <w:pPr>
              <w:jc w:val="left"/>
            </w:pPr>
            <w:r>
              <w:rPr>
                <w:b w:val="0"/>
                <w:bCs w:val="0"/>
                <w:color w:val="000000"/>
                <w:sz w:val="19"/>
                <w:szCs w:val="19"/>
              </w:rPr>
              <w:t>Acquired in October</w:t>
            </w:r>
          </w:p>
        </w:tc>
        <w:tc>
          <w:tcPr>
            <w:tcW w:w="2100" w:type="dxa"/>
            <w:tcMar>
              <w:top w:w="80" w:type="dxa"/>
              <w:left w:w="100" w:type="dxa"/>
              <w:bottom w:w="80" w:type="dxa"/>
              <w:right w:w="100" w:type="dxa"/>
            </w:tcMar>
          </w:tcPr>
          <w:p w14:paraId="28286058">
            <w:pPr>
              <w:jc w:val="left"/>
            </w:pPr>
            <w:r>
              <w:rPr>
                <w:rFonts w:hint="default" w:ascii="Times New Roman" w:hAnsi="Times New Roman" w:eastAsia="SimSun" w:cs="Times New Roman"/>
                <w:sz w:val="21"/>
                <w:szCs w:val="21"/>
              </w:rPr>
              <w:t>5,314</w:t>
            </w:r>
          </w:p>
        </w:tc>
        <w:tc>
          <w:tcPr>
            <w:tcW w:w="2300" w:type="dxa"/>
            <w:tcMar>
              <w:top w:w="80" w:type="dxa"/>
              <w:left w:w="100" w:type="dxa"/>
              <w:bottom w:w="80" w:type="dxa"/>
              <w:right w:w="100" w:type="dxa"/>
            </w:tcMar>
          </w:tcPr>
          <w:p w14:paraId="07E4910A">
            <w:pPr>
              <w:jc w:val="left"/>
              <w:rPr>
                <w:rFonts w:hint="default"/>
                <w:lang w:val="en-US"/>
              </w:rPr>
            </w:pPr>
            <w:r>
              <w:rPr>
                <w:b w:val="0"/>
                <w:bCs w:val="0"/>
                <w:color w:val="000000"/>
                <w:sz w:val="19"/>
                <w:szCs w:val="19"/>
              </w:rPr>
              <w:t>1.</w:t>
            </w:r>
            <w:r>
              <w:rPr>
                <w:rFonts w:hint="default"/>
                <w:b w:val="0"/>
                <w:bCs w:val="0"/>
                <w:color w:val="000000"/>
                <w:sz w:val="19"/>
                <w:szCs w:val="19"/>
                <w:lang w:val="en-US"/>
              </w:rPr>
              <w:t>32</w:t>
            </w:r>
          </w:p>
        </w:tc>
        <w:tc>
          <w:tcPr>
            <w:tcW w:w="2000" w:type="dxa"/>
            <w:tcMar>
              <w:top w:w="80" w:type="dxa"/>
              <w:left w:w="100" w:type="dxa"/>
              <w:bottom w:w="80" w:type="dxa"/>
              <w:right w:w="100" w:type="dxa"/>
            </w:tcMar>
          </w:tcPr>
          <w:p w14:paraId="177FD013">
            <w:pPr>
              <w:jc w:val="left"/>
            </w:pPr>
            <w:r>
              <w:rPr>
                <w:rFonts w:hint="default"/>
                <w:b w:val="0"/>
                <w:bCs w:val="0"/>
                <w:color w:val="000000"/>
                <w:sz w:val="19"/>
                <w:szCs w:val="19"/>
                <w:lang w:val="en-US"/>
              </w:rPr>
              <w:t>6</w:t>
            </w:r>
            <w:r>
              <w:rPr>
                <w:b w:val="0"/>
                <w:bCs w:val="0"/>
                <w:color w:val="000000"/>
                <w:sz w:val="19"/>
                <w:szCs w:val="19"/>
              </w:rPr>
              <w:t>4.0</w:t>
            </w:r>
            <w:r>
              <w:rPr>
                <w:rFonts w:hint="default"/>
                <w:b w:val="0"/>
                <w:bCs w:val="0"/>
                <w:color w:val="000000"/>
                <w:sz w:val="19"/>
                <w:szCs w:val="19"/>
                <w:lang w:val="en-US"/>
              </w:rPr>
              <w:t>6</w:t>
            </w:r>
            <w:r>
              <w:rPr>
                <w:b w:val="0"/>
                <w:bCs w:val="0"/>
                <w:color w:val="000000"/>
                <w:sz w:val="19"/>
                <w:szCs w:val="19"/>
              </w:rPr>
              <w:t>%</w:t>
            </w:r>
          </w:p>
        </w:tc>
      </w:tr>
      <w:tr w14:paraId="0285A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shd w:val="clear" w:color="auto" w:fill="F2F2F2"/>
            <w:tcMar>
              <w:top w:w="80" w:type="dxa"/>
              <w:left w:w="100" w:type="dxa"/>
              <w:bottom w:w="80" w:type="dxa"/>
              <w:right w:w="100" w:type="dxa"/>
            </w:tcMar>
          </w:tcPr>
          <w:p w14:paraId="38C1F227">
            <w:pPr>
              <w:jc w:val="left"/>
            </w:pPr>
            <w:r>
              <w:rPr>
                <w:b w:val="0"/>
                <w:bCs w:val="0"/>
                <w:color w:val="000000"/>
                <w:sz w:val="19"/>
                <w:szCs w:val="19"/>
              </w:rPr>
              <w:t>Acquired Other Months</w:t>
            </w:r>
          </w:p>
        </w:tc>
        <w:tc>
          <w:tcPr>
            <w:tcW w:w="2100" w:type="dxa"/>
            <w:shd w:val="clear" w:color="auto" w:fill="F2F2F2"/>
            <w:tcMar>
              <w:top w:w="80" w:type="dxa"/>
              <w:left w:w="100" w:type="dxa"/>
              <w:bottom w:w="80" w:type="dxa"/>
              <w:right w:w="100" w:type="dxa"/>
            </w:tcMar>
          </w:tcPr>
          <w:p w14:paraId="39BFC9E4">
            <w:pPr>
              <w:jc w:val="left"/>
            </w:pPr>
            <w:r>
              <w:rPr>
                <w:rFonts w:hint="default" w:ascii="Times New Roman" w:hAnsi="Times New Roman" w:eastAsia="SimSun" w:cs="Times New Roman"/>
                <w:sz w:val="21"/>
                <w:szCs w:val="21"/>
              </w:rPr>
              <w:t>34,685</w:t>
            </w:r>
          </w:p>
        </w:tc>
        <w:tc>
          <w:tcPr>
            <w:tcW w:w="2300" w:type="dxa"/>
            <w:shd w:val="clear" w:color="auto" w:fill="F2F2F2"/>
            <w:tcMar>
              <w:top w:w="80" w:type="dxa"/>
              <w:left w:w="100" w:type="dxa"/>
              <w:bottom w:w="80" w:type="dxa"/>
              <w:right w:w="100" w:type="dxa"/>
            </w:tcMar>
          </w:tcPr>
          <w:p w14:paraId="0CF796F6">
            <w:pPr>
              <w:jc w:val="left"/>
              <w:rPr>
                <w:rFonts w:hint="default"/>
                <w:lang w:val="en-US"/>
              </w:rPr>
            </w:pPr>
            <w:r>
              <w:rPr>
                <w:b w:val="0"/>
                <w:bCs w:val="0"/>
                <w:color w:val="000000"/>
                <w:sz w:val="19"/>
                <w:szCs w:val="19"/>
              </w:rPr>
              <w:t>2.</w:t>
            </w:r>
            <w:r>
              <w:rPr>
                <w:rFonts w:hint="default"/>
                <w:b w:val="0"/>
                <w:bCs w:val="0"/>
                <w:color w:val="000000"/>
                <w:sz w:val="19"/>
                <w:szCs w:val="19"/>
                <w:lang w:val="en-US"/>
              </w:rPr>
              <w:t>14</w:t>
            </w:r>
          </w:p>
        </w:tc>
        <w:tc>
          <w:tcPr>
            <w:tcW w:w="2000" w:type="dxa"/>
            <w:shd w:val="clear" w:color="auto" w:fill="F2F2F2"/>
            <w:tcMar>
              <w:top w:w="80" w:type="dxa"/>
              <w:left w:w="100" w:type="dxa"/>
              <w:bottom w:w="80" w:type="dxa"/>
              <w:right w:w="100" w:type="dxa"/>
            </w:tcMar>
          </w:tcPr>
          <w:p w14:paraId="75A447AD">
            <w:pPr>
              <w:jc w:val="left"/>
            </w:pPr>
            <w:r>
              <w:rPr>
                <w:b w:val="0"/>
                <w:bCs w:val="0"/>
                <w:color w:val="000000"/>
                <w:sz w:val="19"/>
                <w:szCs w:val="19"/>
              </w:rPr>
              <w:t>5</w:t>
            </w:r>
            <w:r>
              <w:rPr>
                <w:rFonts w:hint="default"/>
                <w:b w:val="0"/>
                <w:bCs w:val="0"/>
                <w:color w:val="000000"/>
                <w:sz w:val="19"/>
                <w:szCs w:val="19"/>
                <w:lang w:val="en-US"/>
              </w:rPr>
              <w:t>1</w:t>
            </w:r>
            <w:r>
              <w:rPr>
                <w:b w:val="0"/>
                <w:bCs w:val="0"/>
                <w:color w:val="000000"/>
                <w:sz w:val="19"/>
                <w:szCs w:val="19"/>
              </w:rPr>
              <w:t>.</w:t>
            </w:r>
            <w:r>
              <w:rPr>
                <w:rFonts w:hint="default"/>
                <w:b w:val="0"/>
                <w:bCs w:val="0"/>
                <w:color w:val="000000"/>
                <w:sz w:val="19"/>
                <w:szCs w:val="19"/>
                <w:lang w:val="en-US"/>
              </w:rPr>
              <w:t>44</w:t>
            </w:r>
            <w:r>
              <w:rPr>
                <w:b w:val="0"/>
                <w:bCs w:val="0"/>
                <w:color w:val="000000"/>
                <w:sz w:val="19"/>
                <w:szCs w:val="19"/>
              </w:rPr>
              <w:t>%</w:t>
            </w:r>
          </w:p>
        </w:tc>
      </w:tr>
    </w:tbl>
    <w:p w14:paraId="0D9E3823">
      <w:pPr>
        <w:pStyle w:val="1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One-time-customer volume by entry month highlights October and November as extreme volume outliers, driven primarily by festive promotional discounting (~30%) that attracts one-time deal-seekers rather than high-retention users.</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When evaluating return behavior at a unique customer level across both full-order cancellations (</w:t>
      </w:r>
      <w:r>
        <w:rPr>
          <w:rStyle w:val="14"/>
          <w:rFonts w:hint="default" w:ascii="Times New Roman" w:hAnsi="Times New Roman" w:cs="Times New Roman"/>
          <w:sz w:val="15"/>
          <w:szCs w:val="15"/>
        </w:rPr>
        <w:t>Returned</w:t>
      </w:r>
      <w:r>
        <w:rPr>
          <w:rFonts w:hint="default" w:ascii="Times New Roman" w:hAnsi="Times New Roman" w:cs="Times New Roman"/>
          <w:sz w:val="20"/>
          <w:szCs w:val="20"/>
        </w:rPr>
        <w:t xml:space="preserve"> status) and partial returns, return friction acts as a key operational barrier to repeat purchasing. Customers experiencing return friction show a higher propensity toward one-time churn compared to buyers with uninterrupted fulfillment.</w:t>
      </w:r>
    </w:p>
    <w:p w14:paraId="22415279">
      <w:pPr>
        <w:pStyle w:val="3"/>
        <w:spacing w:before="300" w:after="150"/>
      </w:pPr>
      <w:r>
        <w:rPr>
          <w:b/>
          <w:bCs/>
          <w:color w:val="7B241C"/>
          <w:sz w:val="24"/>
          <w:szCs w:val="24"/>
        </w:rPr>
        <w:t>5.3 Identified Driver(s)</w:t>
      </w:r>
    </w:p>
    <w:p w14:paraId="53E231CB">
      <w:pPr>
        <w:spacing w:after="150" w:line="276" w:lineRule="auto"/>
      </w:pPr>
      <w:r>
        <w:rPr>
          <w:sz w:val="21"/>
          <w:szCs w:val="21"/>
        </w:rPr>
        <w:t>VIP customers' lower margin is associated with their category concentration — a disproportionate share of VIP spend goes to Electronics, a category already shown to carry negative overall margin — rather than with any discount advantage given to VIP customers, since VIP customers receive the lowest average discount of the three segments.</w:t>
      </w:r>
    </w:p>
    <w:p w14:paraId="0241A76D">
      <w:pPr>
        <w:spacing w:after="150" w:line="276" w:lineRule="auto"/>
      </w:pPr>
      <w:r>
        <w:rPr>
          <w:sz w:val="21"/>
          <w:szCs w:val="21"/>
        </w:rPr>
        <w:t>Separately, October-acquired customers showed a lower repeat-purchase rate and higher one-time-customer share than customers acquired in other months. The diagnostic analysis identified this association but did not test the underlying cause of the difference; it should not be read as proof that October acquisition itself causes lower loyalty. The October acquisition spike coincides with the same period identified in Problem 2 as having unusually deep discounting, which is a plausible contributing factor worth further investigation.</w:t>
      </w:r>
    </w:p>
    <w:p w14:paraId="7C03679E">
      <w:pPr>
        <w:spacing w:after="150" w:line="276" w:lineRule="auto"/>
        <w:rPr>
          <w:rFonts w:hint="default" w:ascii="Times New Roman" w:hAnsi="Times New Roman" w:cs="Times New Roman"/>
          <w:sz w:val="18"/>
          <w:szCs w:val="18"/>
        </w:rPr>
      </w:pPr>
      <w:r>
        <w:rPr>
          <w:rFonts w:hint="default" w:ascii="Times New Roman" w:hAnsi="Times New Roman" w:eastAsia="SimSun" w:cs="Times New Roman"/>
          <w:sz w:val="21"/>
          <w:szCs w:val="21"/>
        </w:rPr>
        <w:t>The broader question of why 51.44% of customers acquired outside October also order only once remains only partially explained by the findings in this report; October acquisition accounts for a relatively small share (5,314 of 39,999, or 13.29%) of the total customer base.</w:t>
      </w:r>
    </w:p>
    <w:p w14:paraId="3C9D711A">
      <w:pPr>
        <w:pStyle w:val="3"/>
        <w:spacing w:before="300" w:after="150"/>
      </w:pPr>
      <w:r>
        <w:rPr>
          <w:b/>
          <w:bCs/>
          <w:color w:val="7B241C"/>
          <w:sz w:val="24"/>
          <w:szCs w:val="24"/>
        </w:rPr>
        <w:t>5.4 Recommended Actions</w:t>
      </w:r>
    </w:p>
    <w:p w14:paraId="3633DEAB">
      <w:pPr>
        <w:pStyle w:val="18"/>
        <w:numPr>
          <w:ilvl w:val="0"/>
          <w:numId w:val="1"/>
        </w:numPr>
        <w:spacing w:after="80" w:line="270" w:lineRule="auto"/>
      </w:pPr>
      <w:r>
        <w:rPr>
          <w:b/>
          <w:bCs/>
          <w:sz w:val="21"/>
          <w:szCs w:val="21"/>
        </w:rPr>
        <w:t xml:space="preserve">Category-aware VIP offers: </w:t>
      </w:r>
      <w:r>
        <w:rPr>
          <w:sz w:val="21"/>
          <w:szCs w:val="21"/>
        </w:rPr>
        <w:t>since VIP customers' low margin traces to Electronics concentration rather than discount depth, consider structuring VIP incentives (loyalty perks, bundling) around higher-margin categories rather than further discounting Electronics purchases for this segment.</w:t>
      </w:r>
    </w:p>
    <w:p w14:paraId="241CBB2E">
      <w:pPr>
        <w:pStyle w:val="18"/>
        <w:numPr>
          <w:ilvl w:val="0"/>
          <w:numId w:val="1"/>
        </w:numPr>
        <w:spacing w:after="80" w:line="270" w:lineRule="auto"/>
        <w:rPr>
          <w:rFonts w:hint="default" w:ascii="Times New Roman" w:hAnsi="Times New Roman" w:cs="Times New Roman"/>
          <w:sz w:val="18"/>
          <w:szCs w:val="20"/>
        </w:rPr>
      </w:pPr>
      <w:r>
        <w:rPr>
          <w:rFonts w:hint="default" w:ascii="Times New Roman" w:hAnsi="Times New Roman" w:eastAsia="SimSun" w:cs="Times New Roman"/>
          <w:b/>
          <w:bCs/>
          <w:sz w:val="21"/>
          <w:szCs w:val="21"/>
        </w:rPr>
        <w:t xml:space="preserve">Targeted retention outreach for October-acquired customers: </w:t>
      </w:r>
      <w:r>
        <w:rPr>
          <w:rFonts w:hint="default" w:ascii="Times New Roman" w:hAnsi="Times New Roman" w:eastAsia="SimSun" w:cs="Times New Roman"/>
          <w:sz w:val="21"/>
          <w:szCs w:val="21"/>
        </w:rPr>
        <w:t>given their markedly lower repeat rate (64.06% one-time vs. 51.44% baseline), a post-purchase engagement or second-order incentive aimed specifically at this cohort could be tested.</w:t>
      </w:r>
    </w:p>
    <w:p w14:paraId="1D7F3317">
      <w:pPr>
        <w:pStyle w:val="18"/>
        <w:numPr>
          <w:ilvl w:val="0"/>
          <w:numId w:val="1"/>
        </w:numPr>
        <w:spacing w:after="80" w:line="270" w:lineRule="auto"/>
      </w:pPr>
      <w:r>
        <w:rPr>
          <w:b/>
          <w:bCs/>
          <w:sz w:val="21"/>
          <w:szCs w:val="21"/>
        </w:rPr>
        <w:t xml:space="preserve">Avoid using deep discounting as the primary acquisition lever in October: </w:t>
      </w:r>
      <w:r>
        <w:rPr>
          <w:sz w:val="21"/>
          <w:szCs w:val="21"/>
        </w:rPr>
        <w:t>if October-acquired customers convert to repeat buyers at a lower rate, acquisition driven heavily by steep discounts may be attracting more price-sensitive, one-time buyers; this is a hypothesis that would benefit from further testing (e.g., a controlled comparison of discount-driven vs. non-discount-driven acquisition).</w:t>
      </w:r>
    </w:p>
    <w:p w14:paraId="7C351B88">
      <w:pPr>
        <w:pStyle w:val="18"/>
        <w:numPr>
          <w:ilvl w:val="0"/>
          <w:numId w:val="1"/>
        </w:numPr>
        <w:spacing w:after="80" w:line="270" w:lineRule="auto"/>
      </w:pPr>
      <w:r>
        <w:rPr>
          <w:b/>
          <w:bCs/>
          <w:sz w:val="21"/>
          <w:szCs w:val="21"/>
        </w:rPr>
        <w:t xml:space="preserve">Investigate the broader one-time-customer pattern: </w:t>
      </w:r>
      <w:r>
        <w:rPr>
          <w:sz w:val="21"/>
          <w:szCs w:val="21"/>
        </w:rPr>
        <w:t>because October only explains a portion of the overall 61.5% one-time-customer rate, further diagnostic work (e.g., by first-order category, first-order value, or channel) is recommended to explain the remainder.</w:t>
      </w:r>
    </w:p>
    <w:p w14:paraId="1852ADBC">
      <w:pPr>
        <w:pStyle w:val="3"/>
        <w:spacing w:before="300" w:after="150"/>
      </w:pPr>
      <w:r>
        <w:rPr>
          <w:b/>
          <w:bCs/>
          <w:color w:val="7B241C"/>
          <w:sz w:val="24"/>
          <w:szCs w:val="24"/>
        </w:rPr>
        <w:t>5.5 Business Implication</w:t>
      </w:r>
    </w:p>
    <w:p w14:paraId="1456FB37">
      <w:pPr>
        <w:spacing w:after="150" w:line="276" w:lineRule="auto"/>
      </w:pPr>
      <w:r>
        <w:rPr>
          <w:sz w:val="21"/>
          <w:szCs w:val="21"/>
        </w:rPr>
        <w:t>VIP customers currently generate revenue disproportionate to their margin contribution because of category concentration in Electronics, meaning growing VIP spend further into Electronics — without addressing that category's margin — would not proportionately grow profit. Separately, if October's discount-driven acquisition pattern continues to bring in customers with a substantially lower repeat rate, the cost of acquiring those customers is being spread across fewer future transactions than for customers acquired at other times of year.</w:t>
      </w:r>
    </w:p>
    <w:p w14:paraId="1BA0298E">
      <w:r>
        <w:br w:type="page"/>
      </w:r>
    </w:p>
    <w:p w14:paraId="2EE63FF0">
      <w:pPr>
        <w:pStyle w:val="2"/>
        <w:pBdr>
          <w:bottom w:val="single" w:color="1F3864" w:sz="6" w:space="4"/>
        </w:pBdr>
        <w:spacing w:before="400" w:after="200"/>
      </w:pPr>
      <w:r>
        <w:rPr>
          <w:b/>
          <w:bCs/>
          <w:color w:val="1F3864"/>
          <w:sz w:val="30"/>
          <w:szCs w:val="30"/>
        </w:rPr>
        <w:t>6. Problem 4 — Delivery / Operations</w:t>
      </w:r>
    </w:p>
    <w:p w14:paraId="6BB67964">
      <w:pPr>
        <w:pBdr>
          <w:left w:val="single" w:color="1F3864" w:sz="18" w:space="8"/>
        </w:pBdr>
        <w:spacing w:before="150" w:after="150"/>
        <w:ind w:left="300"/>
      </w:pPr>
      <w:r>
        <w:rPr>
          <w:i/>
          <w:iCs/>
          <w:color w:val="1A1A1A"/>
          <w:sz w:val="21"/>
          <w:szCs w:val="21"/>
        </w:rPr>
        <w:t>Why is BharatKart experiencing a very high late-delivery rate (61.20%)?</w:t>
      </w:r>
    </w:p>
    <w:p w14:paraId="0635F378">
      <w:pPr>
        <w:pStyle w:val="3"/>
        <w:spacing w:before="300" w:after="150"/>
      </w:pPr>
      <w:r>
        <w:rPr>
          <w:b/>
          <w:bCs/>
          <w:color w:val="7B241C"/>
          <w:sz w:val="24"/>
          <w:szCs w:val="24"/>
        </w:rPr>
        <w:t>6.1 Problem</w:t>
      </w:r>
    </w:p>
    <w:p w14:paraId="30DA0247">
      <w:pPr>
        <w:spacing w:after="150" w:line="276" w:lineRule="auto"/>
      </w:pPr>
      <w:r>
        <w:rPr>
          <w:sz w:val="21"/>
          <w:szCs w:val="21"/>
        </w:rPr>
        <w:t>Report 1 established that 61.20% of Delivered/Returned orders were classified as late (delivery_delay &gt; 0), against an average delivery time of 5.02 days and an average delay of 1.26 days. This section investigates whether the late-delivery rate is concentrated in a specific state, seller, or product category, or linked to returns.</w:t>
      </w:r>
    </w:p>
    <w:p w14:paraId="4898A7AF">
      <w:pPr>
        <w:pStyle w:val="3"/>
        <w:spacing w:before="300" w:after="150"/>
      </w:pPr>
      <w:r>
        <w:rPr>
          <w:b/>
          <w:bCs/>
          <w:color w:val="7B241C"/>
          <w:sz w:val="24"/>
          <w:szCs w:val="24"/>
        </w:rPr>
        <w:t>6.2 Diagnostic Evidence</w:t>
      </w:r>
    </w:p>
    <w:p w14:paraId="599AC2CB">
      <w:pPr>
        <w:spacing w:after="150" w:line="276" w:lineRule="auto"/>
      </w:pPr>
      <w:r>
        <w:rPr>
          <w:sz w:val="21"/>
          <w:szCs w:val="21"/>
        </w:rPr>
        <w:t>Late-delivery rate by delivery state, across all 28 states in the dataset, falls within a narrow band:</w:t>
      </w:r>
    </w:p>
    <w:tbl>
      <w:tblPr>
        <w:tblStyle w:val="9"/>
        <w:tblW w:w="7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400"/>
        <w:gridCol w:w="2100"/>
      </w:tblGrid>
      <w:tr w14:paraId="29779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shd w:val="clear" w:color="auto" w:fill="1F3864"/>
            <w:tcMar>
              <w:top w:w="80" w:type="dxa"/>
              <w:left w:w="100" w:type="dxa"/>
              <w:bottom w:w="80" w:type="dxa"/>
              <w:right w:w="100" w:type="dxa"/>
            </w:tcMar>
          </w:tcPr>
          <w:p w14:paraId="6120B95A">
            <w:pPr>
              <w:jc w:val="center"/>
            </w:pPr>
            <w:r>
              <w:rPr>
                <w:b/>
                <w:bCs/>
                <w:color w:val="FFFFFF"/>
                <w:sz w:val="19"/>
                <w:szCs w:val="19"/>
              </w:rPr>
              <w:t>State</w:t>
            </w:r>
          </w:p>
        </w:tc>
        <w:tc>
          <w:tcPr>
            <w:tcW w:w="2400" w:type="dxa"/>
            <w:shd w:val="clear" w:color="auto" w:fill="1F3864"/>
            <w:tcMar>
              <w:top w:w="80" w:type="dxa"/>
              <w:left w:w="100" w:type="dxa"/>
              <w:bottom w:w="80" w:type="dxa"/>
              <w:right w:w="100" w:type="dxa"/>
            </w:tcMar>
          </w:tcPr>
          <w:p w14:paraId="4EF0A4D0">
            <w:pPr>
              <w:jc w:val="center"/>
            </w:pPr>
            <w:r>
              <w:rPr>
                <w:b/>
                <w:bCs/>
                <w:color w:val="FFFFFF"/>
                <w:sz w:val="19"/>
                <w:szCs w:val="19"/>
              </w:rPr>
              <w:t>Total Orders</w:t>
            </w:r>
          </w:p>
        </w:tc>
        <w:tc>
          <w:tcPr>
            <w:tcW w:w="2100" w:type="dxa"/>
            <w:shd w:val="clear" w:color="auto" w:fill="1F3864"/>
            <w:tcMar>
              <w:top w:w="80" w:type="dxa"/>
              <w:left w:w="100" w:type="dxa"/>
              <w:bottom w:w="80" w:type="dxa"/>
              <w:right w:w="100" w:type="dxa"/>
            </w:tcMar>
          </w:tcPr>
          <w:p w14:paraId="1CBABDC5">
            <w:pPr>
              <w:jc w:val="center"/>
            </w:pPr>
            <w:r>
              <w:rPr>
                <w:b/>
                <w:bCs/>
                <w:color w:val="FFFFFF"/>
                <w:sz w:val="19"/>
                <w:szCs w:val="19"/>
              </w:rPr>
              <w:t>Late %</w:t>
            </w:r>
          </w:p>
        </w:tc>
      </w:tr>
      <w:tr w14:paraId="5DCAC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tcPr>
          <w:p w14:paraId="4AFCCCB5">
            <w:pPr>
              <w:jc w:val="left"/>
            </w:pPr>
            <w:r>
              <w:rPr>
                <w:b w:val="0"/>
                <w:bCs w:val="0"/>
                <w:color w:val="000000"/>
                <w:sz w:val="19"/>
                <w:szCs w:val="19"/>
              </w:rPr>
              <w:t>Himachal Pradesh (highest)</w:t>
            </w:r>
          </w:p>
        </w:tc>
        <w:tc>
          <w:tcPr>
            <w:tcW w:w="2400" w:type="dxa"/>
            <w:tcMar>
              <w:top w:w="80" w:type="dxa"/>
              <w:left w:w="100" w:type="dxa"/>
              <w:bottom w:w="80" w:type="dxa"/>
              <w:right w:w="100" w:type="dxa"/>
            </w:tcMar>
          </w:tcPr>
          <w:p w14:paraId="75BED9CA">
            <w:pPr>
              <w:jc w:val="left"/>
            </w:pPr>
            <w:r>
              <w:rPr>
                <w:b w:val="0"/>
                <w:bCs w:val="0"/>
                <w:color w:val="000000"/>
                <w:sz w:val="19"/>
                <w:szCs w:val="19"/>
              </w:rPr>
              <w:t>276</w:t>
            </w:r>
          </w:p>
        </w:tc>
        <w:tc>
          <w:tcPr>
            <w:tcW w:w="2100" w:type="dxa"/>
            <w:tcMar>
              <w:top w:w="80" w:type="dxa"/>
              <w:left w:w="100" w:type="dxa"/>
              <w:bottom w:w="80" w:type="dxa"/>
              <w:right w:w="100" w:type="dxa"/>
            </w:tcMar>
          </w:tcPr>
          <w:p w14:paraId="1C80FA6A">
            <w:pPr>
              <w:jc w:val="left"/>
            </w:pPr>
            <w:r>
              <w:rPr>
                <w:b w:val="0"/>
                <w:bCs w:val="0"/>
                <w:color w:val="000000"/>
                <w:sz w:val="19"/>
                <w:szCs w:val="19"/>
              </w:rPr>
              <w:t>65.58%</w:t>
            </w:r>
          </w:p>
        </w:tc>
      </w:tr>
      <w:tr w14:paraId="46D0B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2F2F2"/>
            <w:tcMar>
              <w:top w:w="80" w:type="dxa"/>
              <w:left w:w="100" w:type="dxa"/>
              <w:bottom w:w="80" w:type="dxa"/>
              <w:right w:w="100" w:type="dxa"/>
            </w:tcMar>
          </w:tcPr>
          <w:p w14:paraId="44EA4896">
            <w:pPr>
              <w:jc w:val="left"/>
            </w:pPr>
            <w:r>
              <w:rPr>
                <w:b w:val="0"/>
                <w:bCs w:val="0"/>
                <w:color w:val="000000"/>
                <w:sz w:val="19"/>
                <w:szCs w:val="19"/>
              </w:rPr>
              <w:t>Puducherry</w:t>
            </w:r>
          </w:p>
        </w:tc>
        <w:tc>
          <w:tcPr>
            <w:tcW w:w="2400" w:type="dxa"/>
            <w:shd w:val="clear" w:color="auto" w:fill="F2F2F2"/>
            <w:tcMar>
              <w:top w:w="80" w:type="dxa"/>
              <w:left w:w="100" w:type="dxa"/>
              <w:bottom w:w="80" w:type="dxa"/>
              <w:right w:w="100" w:type="dxa"/>
            </w:tcMar>
          </w:tcPr>
          <w:p w14:paraId="66158D97">
            <w:pPr>
              <w:jc w:val="left"/>
            </w:pPr>
            <w:r>
              <w:rPr>
                <w:b w:val="0"/>
                <w:bCs w:val="0"/>
                <w:color w:val="000000"/>
                <w:sz w:val="19"/>
                <w:szCs w:val="19"/>
              </w:rPr>
              <w:t>239</w:t>
            </w:r>
          </w:p>
        </w:tc>
        <w:tc>
          <w:tcPr>
            <w:tcW w:w="2100" w:type="dxa"/>
            <w:shd w:val="clear" w:color="auto" w:fill="F2F2F2"/>
            <w:tcMar>
              <w:top w:w="80" w:type="dxa"/>
              <w:left w:w="100" w:type="dxa"/>
              <w:bottom w:w="80" w:type="dxa"/>
              <w:right w:w="100" w:type="dxa"/>
            </w:tcMar>
          </w:tcPr>
          <w:p w14:paraId="1799408C">
            <w:pPr>
              <w:jc w:val="left"/>
            </w:pPr>
            <w:r>
              <w:rPr>
                <w:b w:val="0"/>
                <w:bCs w:val="0"/>
                <w:color w:val="000000"/>
                <w:sz w:val="19"/>
                <w:szCs w:val="19"/>
              </w:rPr>
              <w:t>63.60%</w:t>
            </w:r>
          </w:p>
        </w:tc>
      </w:tr>
      <w:tr w14:paraId="08112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tcPr>
          <w:p w14:paraId="03C2B416">
            <w:pPr>
              <w:jc w:val="left"/>
            </w:pPr>
            <w:r>
              <w:rPr>
                <w:b w:val="0"/>
                <w:bCs w:val="0"/>
                <w:color w:val="000000"/>
                <w:sz w:val="19"/>
                <w:szCs w:val="19"/>
              </w:rPr>
              <w:t>West Bengal</w:t>
            </w:r>
          </w:p>
        </w:tc>
        <w:tc>
          <w:tcPr>
            <w:tcW w:w="2400" w:type="dxa"/>
            <w:tcMar>
              <w:top w:w="80" w:type="dxa"/>
              <w:left w:w="100" w:type="dxa"/>
              <w:bottom w:w="80" w:type="dxa"/>
              <w:right w:w="100" w:type="dxa"/>
            </w:tcMar>
          </w:tcPr>
          <w:p w14:paraId="659264CE">
            <w:pPr>
              <w:jc w:val="left"/>
            </w:pPr>
            <w:r>
              <w:rPr>
                <w:b w:val="0"/>
                <w:bCs w:val="0"/>
                <w:color w:val="000000"/>
                <w:sz w:val="19"/>
                <w:szCs w:val="19"/>
              </w:rPr>
              <w:t>3,237</w:t>
            </w:r>
          </w:p>
        </w:tc>
        <w:tc>
          <w:tcPr>
            <w:tcW w:w="2100" w:type="dxa"/>
            <w:tcMar>
              <w:top w:w="80" w:type="dxa"/>
              <w:left w:w="100" w:type="dxa"/>
              <w:bottom w:w="80" w:type="dxa"/>
              <w:right w:w="100" w:type="dxa"/>
            </w:tcMar>
          </w:tcPr>
          <w:p w14:paraId="30E472E8">
            <w:pPr>
              <w:jc w:val="left"/>
            </w:pPr>
            <w:r>
              <w:rPr>
                <w:b w:val="0"/>
                <w:bCs w:val="0"/>
                <w:color w:val="000000"/>
                <w:sz w:val="19"/>
                <w:szCs w:val="19"/>
              </w:rPr>
              <w:t>63.02%</w:t>
            </w:r>
          </w:p>
        </w:tc>
      </w:tr>
      <w:tr w14:paraId="48361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2F2F2"/>
            <w:tcMar>
              <w:top w:w="80" w:type="dxa"/>
              <w:left w:w="100" w:type="dxa"/>
              <w:bottom w:w="80" w:type="dxa"/>
              <w:right w:w="100" w:type="dxa"/>
            </w:tcMar>
          </w:tcPr>
          <w:p w14:paraId="12484E6B">
            <w:pPr>
              <w:jc w:val="left"/>
            </w:pPr>
            <w:r>
              <w:rPr>
                <w:b w:val="0"/>
                <w:bCs w:val="0"/>
                <w:color w:val="000000"/>
                <w:sz w:val="19"/>
                <w:szCs w:val="19"/>
              </w:rPr>
              <w:t>Maharashtra (largest volume)</w:t>
            </w:r>
          </w:p>
        </w:tc>
        <w:tc>
          <w:tcPr>
            <w:tcW w:w="2400" w:type="dxa"/>
            <w:shd w:val="clear" w:color="auto" w:fill="F2F2F2"/>
            <w:tcMar>
              <w:top w:w="80" w:type="dxa"/>
              <w:left w:w="100" w:type="dxa"/>
              <w:bottom w:w="80" w:type="dxa"/>
              <w:right w:w="100" w:type="dxa"/>
            </w:tcMar>
          </w:tcPr>
          <w:p w14:paraId="31B76FF4">
            <w:pPr>
              <w:jc w:val="left"/>
            </w:pPr>
            <w:r>
              <w:rPr>
                <w:b w:val="0"/>
                <w:bCs w:val="0"/>
                <w:color w:val="000000"/>
                <w:sz w:val="19"/>
                <w:szCs w:val="19"/>
              </w:rPr>
              <w:t>11,248</w:t>
            </w:r>
          </w:p>
        </w:tc>
        <w:tc>
          <w:tcPr>
            <w:tcW w:w="2100" w:type="dxa"/>
            <w:shd w:val="clear" w:color="auto" w:fill="F2F2F2"/>
            <w:tcMar>
              <w:top w:w="80" w:type="dxa"/>
              <w:left w:w="100" w:type="dxa"/>
              <w:bottom w:w="80" w:type="dxa"/>
              <w:right w:w="100" w:type="dxa"/>
            </w:tcMar>
          </w:tcPr>
          <w:p w14:paraId="63194C73">
            <w:pPr>
              <w:jc w:val="left"/>
            </w:pPr>
            <w:r>
              <w:rPr>
                <w:b w:val="0"/>
                <w:bCs w:val="0"/>
                <w:color w:val="000000"/>
                <w:sz w:val="19"/>
                <w:szCs w:val="19"/>
              </w:rPr>
              <w:t>61.29%</w:t>
            </w:r>
          </w:p>
        </w:tc>
      </w:tr>
      <w:tr w14:paraId="25558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tcPr>
          <w:p w14:paraId="599AA7C4">
            <w:pPr>
              <w:jc w:val="left"/>
            </w:pPr>
            <w:r>
              <w:rPr>
                <w:b w:val="0"/>
                <w:bCs w:val="0"/>
                <w:color w:val="000000"/>
                <w:sz w:val="19"/>
                <w:szCs w:val="19"/>
              </w:rPr>
              <w:t>Uttar Pradesh</w:t>
            </w:r>
          </w:p>
        </w:tc>
        <w:tc>
          <w:tcPr>
            <w:tcW w:w="2400" w:type="dxa"/>
            <w:tcMar>
              <w:top w:w="80" w:type="dxa"/>
              <w:left w:w="100" w:type="dxa"/>
              <w:bottom w:w="80" w:type="dxa"/>
              <w:right w:w="100" w:type="dxa"/>
            </w:tcMar>
          </w:tcPr>
          <w:p w14:paraId="25C0E1F0">
            <w:pPr>
              <w:jc w:val="left"/>
            </w:pPr>
            <w:r>
              <w:rPr>
                <w:b w:val="0"/>
                <w:bCs w:val="0"/>
                <w:color w:val="000000"/>
                <w:sz w:val="19"/>
                <w:szCs w:val="19"/>
              </w:rPr>
              <w:t>11,118</w:t>
            </w:r>
          </w:p>
        </w:tc>
        <w:tc>
          <w:tcPr>
            <w:tcW w:w="2100" w:type="dxa"/>
            <w:tcMar>
              <w:top w:w="80" w:type="dxa"/>
              <w:left w:w="100" w:type="dxa"/>
              <w:bottom w:w="80" w:type="dxa"/>
              <w:right w:w="100" w:type="dxa"/>
            </w:tcMar>
          </w:tcPr>
          <w:p w14:paraId="1F010B3E">
            <w:pPr>
              <w:jc w:val="left"/>
            </w:pPr>
            <w:r>
              <w:rPr>
                <w:b w:val="0"/>
                <w:bCs w:val="0"/>
                <w:color w:val="000000"/>
                <w:sz w:val="19"/>
                <w:szCs w:val="19"/>
              </w:rPr>
              <w:t>61.65%</w:t>
            </w:r>
          </w:p>
        </w:tc>
      </w:tr>
      <w:tr w14:paraId="0CC90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2F2F2"/>
            <w:tcMar>
              <w:top w:w="80" w:type="dxa"/>
              <w:left w:w="100" w:type="dxa"/>
              <w:bottom w:w="80" w:type="dxa"/>
              <w:right w:w="100" w:type="dxa"/>
            </w:tcMar>
          </w:tcPr>
          <w:p w14:paraId="26089080">
            <w:pPr>
              <w:jc w:val="left"/>
            </w:pPr>
            <w:r>
              <w:rPr>
                <w:b w:val="0"/>
                <w:bCs w:val="0"/>
                <w:color w:val="000000"/>
                <w:sz w:val="19"/>
                <w:szCs w:val="19"/>
              </w:rPr>
              <w:t>Delhi</w:t>
            </w:r>
          </w:p>
        </w:tc>
        <w:tc>
          <w:tcPr>
            <w:tcW w:w="2400" w:type="dxa"/>
            <w:shd w:val="clear" w:color="auto" w:fill="F2F2F2"/>
            <w:tcMar>
              <w:top w:w="80" w:type="dxa"/>
              <w:left w:w="100" w:type="dxa"/>
              <w:bottom w:w="80" w:type="dxa"/>
              <w:right w:w="100" w:type="dxa"/>
            </w:tcMar>
          </w:tcPr>
          <w:p w14:paraId="415C98A7">
            <w:pPr>
              <w:jc w:val="left"/>
            </w:pPr>
            <w:r>
              <w:rPr>
                <w:b w:val="0"/>
                <w:bCs w:val="0"/>
                <w:color w:val="000000"/>
                <w:sz w:val="19"/>
                <w:szCs w:val="19"/>
              </w:rPr>
              <w:t>5,266</w:t>
            </w:r>
          </w:p>
        </w:tc>
        <w:tc>
          <w:tcPr>
            <w:tcW w:w="2100" w:type="dxa"/>
            <w:shd w:val="clear" w:color="auto" w:fill="F2F2F2"/>
            <w:tcMar>
              <w:top w:w="80" w:type="dxa"/>
              <w:left w:w="100" w:type="dxa"/>
              <w:bottom w:w="80" w:type="dxa"/>
              <w:right w:w="100" w:type="dxa"/>
            </w:tcMar>
          </w:tcPr>
          <w:p w14:paraId="2EC67381">
            <w:pPr>
              <w:jc w:val="left"/>
            </w:pPr>
            <w:r>
              <w:rPr>
                <w:b w:val="0"/>
                <w:bCs w:val="0"/>
                <w:color w:val="000000"/>
                <w:sz w:val="19"/>
                <w:szCs w:val="19"/>
              </w:rPr>
              <w:t>59.93%</w:t>
            </w:r>
          </w:p>
        </w:tc>
      </w:tr>
      <w:tr w14:paraId="027E1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tcPr>
          <w:p w14:paraId="5EEE744D">
            <w:pPr>
              <w:jc w:val="left"/>
            </w:pPr>
            <w:r>
              <w:rPr>
                <w:b w:val="0"/>
                <w:bCs w:val="0"/>
                <w:color w:val="000000"/>
                <w:sz w:val="19"/>
                <w:szCs w:val="19"/>
              </w:rPr>
              <w:t>Meghalaya (lowest)</w:t>
            </w:r>
          </w:p>
        </w:tc>
        <w:tc>
          <w:tcPr>
            <w:tcW w:w="2400" w:type="dxa"/>
            <w:tcMar>
              <w:top w:w="80" w:type="dxa"/>
              <w:left w:w="100" w:type="dxa"/>
              <w:bottom w:w="80" w:type="dxa"/>
              <w:right w:w="100" w:type="dxa"/>
            </w:tcMar>
          </w:tcPr>
          <w:p w14:paraId="2DC94AE5">
            <w:pPr>
              <w:jc w:val="left"/>
            </w:pPr>
            <w:r>
              <w:rPr>
                <w:b w:val="0"/>
                <w:bCs w:val="0"/>
                <w:color w:val="000000"/>
                <w:sz w:val="19"/>
                <w:szCs w:val="19"/>
              </w:rPr>
              <w:t>191</w:t>
            </w:r>
          </w:p>
        </w:tc>
        <w:tc>
          <w:tcPr>
            <w:tcW w:w="2100" w:type="dxa"/>
            <w:tcMar>
              <w:top w:w="80" w:type="dxa"/>
              <w:left w:w="100" w:type="dxa"/>
              <w:bottom w:w="80" w:type="dxa"/>
              <w:right w:w="100" w:type="dxa"/>
            </w:tcMar>
          </w:tcPr>
          <w:p w14:paraId="3B6E0304">
            <w:pPr>
              <w:jc w:val="left"/>
            </w:pPr>
            <w:r>
              <w:rPr>
                <w:b w:val="0"/>
                <w:bCs w:val="0"/>
                <w:color w:val="000000"/>
                <w:sz w:val="19"/>
                <w:szCs w:val="19"/>
              </w:rPr>
              <w:t>54.45%</w:t>
            </w:r>
          </w:p>
        </w:tc>
      </w:tr>
    </w:tbl>
    <w:p w14:paraId="74E58929">
      <w:pPr>
        <w:spacing w:after="150" w:line="276" w:lineRule="auto"/>
      </w:pPr>
      <w:r>
        <w:rPr>
          <w:sz w:val="21"/>
          <w:szCs w:val="21"/>
        </w:rPr>
        <w:t>With the exception of Meghalaya (a low-volume state at 191 orders), every state falls between roughly 59% and 66% late — including the two highest-volume states, Maharashtra and Uttar Pradesh, which sit squarely in the middle of the range at 61.29% and 61.65%.</w:t>
      </w:r>
    </w:p>
    <w:p w14:paraId="1BE99953">
      <w:pPr>
        <w:spacing w:after="150" w:line="276" w:lineRule="auto"/>
      </w:pPr>
      <w:r>
        <w:rPr>
          <w:sz w:val="21"/>
          <w:szCs w:val="21"/>
        </w:rPr>
        <w:t>Seller-level analysis (sellers with 100+ orders) shows the same pattern — late-delivery rates cluster between 59.62% and 64.30% across all sellers examined, with no seller standing out as a clear outlier. Average dispatch time (days between order and shipment) is also consistent across sellers, in a narrow 0.97-1.05 day range, indicating sellers are dispatching orders at a similarly fast pace regardless of their late-delivery rate — the delay is occurring after dispatch, not before it.</w:t>
      </w:r>
    </w:p>
    <w:p w14:paraId="68903AA7">
      <w:pPr>
        <w:spacing w:after="150" w:line="276" w:lineRule="auto"/>
      </w:pPr>
      <w:r>
        <w:rPr>
          <w:sz w:val="21"/>
          <w:szCs w:val="21"/>
        </w:rPr>
        <w:t>Category-level analysis, using each order's primary (highest-spend) category to avoid double-counting orders with items from multiple categories, shows an even tighter range: 60.56% (Beauty &amp; Personal Care) to 61.64% (Fashion) across all 8 categories — a spread of just 1.08 percentage points.</w:t>
      </w:r>
    </w:p>
    <w:p w14:paraId="438B0658">
      <w:pPr>
        <w:spacing w:after="150" w:line="276" w:lineRule="auto"/>
      </w:pPr>
      <w:r>
        <w:rPr>
          <w:sz w:val="21"/>
          <w:szCs w:val="21"/>
        </w:rPr>
        <w:t>Finally, late delivery shows no meaningful relationship with return likelihood: orders delivered late had a 7.92% return rate, compared to 8.12% for on-time/early orders — a difference of only 0.20 percentage points, in the opposite direction from what might be expected if late delivery were a driver of returns.</w:t>
      </w:r>
    </w:p>
    <w:p w14:paraId="3B88B57B">
      <w:pPr>
        <w:pStyle w:val="3"/>
        <w:spacing w:before="300" w:after="150"/>
      </w:pPr>
      <w:r>
        <w:rPr>
          <w:b/>
          <w:bCs/>
          <w:color w:val="7B241C"/>
          <w:sz w:val="24"/>
          <w:szCs w:val="24"/>
        </w:rPr>
        <w:t>6.3 Identified Driver / Interpretation</w:t>
      </w:r>
    </w:p>
    <w:p w14:paraId="6529558E">
      <w:pPr>
        <w:spacing w:after="150" w:line="276" w:lineRule="auto"/>
      </w:pPr>
      <w:r>
        <w:rPr>
          <w:sz w:val="21"/>
          <w:szCs w:val="21"/>
        </w:rPr>
        <w:t>The diagnostic analysis did not identify a strong concentration by geography, seller, or category — late-delivery rates are consistently high (roughly 55%-66%) across essentially every state, seller, and category examined, suggesting the issue is broader and systemic rather than isolated to a small group of sellers, a particular region, or a specific product type. The evidence also does not support late delivery as a driver of higher returns.</w:t>
      </w:r>
    </w:p>
    <w:p w14:paraId="1CD39745">
      <w:pPr>
        <w:spacing w:after="150" w:line="276" w:lineRule="auto"/>
      </w:pPr>
      <w:r>
        <w:rPr>
          <w:sz w:val="21"/>
          <w:szCs w:val="21"/>
        </w:rPr>
        <w:t>Because dispatch times are consistently fast across sellers, the delay appears to occur in the period between dispatch and final delivery — which points toward the transit/logistics stage as the more likely stage where the delay accumulates, though the current dataset does not include shipment-tracking, carrier, or warehouse-level data needed to confirm this.</w:t>
      </w:r>
    </w:p>
    <w:p w14:paraId="73C54E6C">
      <w:pPr>
        <w:pStyle w:val="3"/>
        <w:spacing w:before="300" w:after="150"/>
      </w:pPr>
      <w:r>
        <w:rPr>
          <w:b/>
          <w:bCs/>
          <w:color w:val="7B241C"/>
          <w:sz w:val="24"/>
          <w:szCs w:val="24"/>
        </w:rPr>
        <w:t>6.4 Recommended Actions</w:t>
      </w:r>
    </w:p>
    <w:p w14:paraId="7DDF2907">
      <w:pPr>
        <w:pStyle w:val="18"/>
        <w:numPr>
          <w:ilvl w:val="0"/>
          <w:numId w:val="1"/>
        </w:numPr>
        <w:spacing w:after="80" w:line="270" w:lineRule="auto"/>
      </w:pPr>
      <w:r>
        <w:rPr>
          <w:b/>
          <w:bCs/>
          <w:sz w:val="21"/>
          <w:szCs w:val="21"/>
        </w:rPr>
        <w:t xml:space="preserve">Investigate fulfillment/SLA performance: </w:t>
      </w:r>
      <w:r>
        <w:rPr>
          <w:sz w:val="21"/>
          <w:szCs w:val="21"/>
        </w:rPr>
        <w:t>since dispatch is fast and consistent, review the promised delivery window (expected_delivery_date) itself — it is possible the SLA commitment is set tighter than actual transit capability allows, rather than fulfillment being slow.</w:t>
      </w:r>
    </w:p>
    <w:p w14:paraId="1E9DE225">
      <w:pPr>
        <w:pStyle w:val="18"/>
        <w:numPr>
          <w:ilvl w:val="0"/>
          <w:numId w:val="1"/>
        </w:numPr>
        <w:spacing w:after="80" w:line="270" w:lineRule="auto"/>
      </w:pPr>
      <w:r>
        <w:rPr>
          <w:b/>
          <w:bCs/>
          <w:sz w:val="21"/>
          <w:szCs w:val="21"/>
        </w:rPr>
        <w:t xml:space="preserve">Monitor promised vs. actual delivery time as an ongoing metric: </w:t>
      </w:r>
      <w:r>
        <w:rPr>
          <w:sz w:val="21"/>
          <w:szCs w:val="21"/>
        </w:rPr>
        <w:t>track delivery_delay as a standing operational KPI rather than a one-time analysis, to detect whether the systemic pattern changes over time.</w:t>
      </w:r>
    </w:p>
    <w:p w14:paraId="60F8E99B">
      <w:pPr>
        <w:pStyle w:val="18"/>
        <w:numPr>
          <w:ilvl w:val="0"/>
          <w:numId w:val="1"/>
        </w:numPr>
        <w:spacing w:after="80" w:line="270" w:lineRule="auto"/>
      </w:pPr>
      <w:r>
        <w:rPr>
          <w:b/>
          <w:bCs/>
          <w:sz w:val="21"/>
          <w:szCs w:val="21"/>
        </w:rPr>
        <w:t xml:space="preserve">Review logistics-partner performance — requires additional data: </w:t>
      </w:r>
      <w:r>
        <w:rPr>
          <w:sz w:val="21"/>
          <w:szCs w:val="21"/>
        </w:rPr>
        <w:t>the current dataset does not identify which courier/logistics partner handled each shipment; adding this would allow testing whether delay is concentrated in a specific carrier.</w:t>
      </w:r>
    </w:p>
    <w:p w14:paraId="4263F2D1">
      <w:pPr>
        <w:pStyle w:val="18"/>
        <w:numPr>
          <w:ilvl w:val="0"/>
          <w:numId w:val="1"/>
        </w:numPr>
        <w:spacing w:after="80" w:line="270" w:lineRule="auto"/>
      </w:pPr>
      <w:r>
        <w:rPr>
          <w:b/>
          <w:bCs/>
          <w:sz w:val="21"/>
          <w:szCs w:val="21"/>
        </w:rPr>
        <w:t xml:space="preserve">Create regional/route-level SLA monitoring — requires additional data: </w:t>
      </w:r>
      <w:r>
        <w:rPr>
          <w:sz w:val="21"/>
          <w:szCs w:val="21"/>
        </w:rPr>
        <w:t>route-level transit-time data (origin warehouse to destination) is not currently available and would help distinguish route-specific bottlenecks from a genuinely uniform, system-wide issue.</w:t>
      </w:r>
    </w:p>
    <w:p w14:paraId="39B16C9B">
      <w:pPr>
        <w:pStyle w:val="18"/>
        <w:numPr>
          <w:ilvl w:val="0"/>
          <w:numId w:val="1"/>
        </w:numPr>
        <w:spacing w:after="80" w:line="270" w:lineRule="auto"/>
      </w:pPr>
      <w:r>
        <w:rPr>
          <w:b/>
          <w:bCs/>
          <w:sz w:val="21"/>
          <w:szCs w:val="21"/>
        </w:rPr>
        <w:t xml:space="preserve">Add shipment-level operational data in future data collection: </w:t>
      </w:r>
      <w:r>
        <w:rPr>
          <w:sz w:val="21"/>
          <w:szCs w:val="21"/>
        </w:rPr>
        <w:t>fields such as carrier, transit hub, and in-transit timestamps would allow this diagnostic to be extended beyond what the current order-level data supports.</w:t>
      </w:r>
    </w:p>
    <w:p w14:paraId="29AF5701">
      <w:pPr>
        <w:pStyle w:val="3"/>
        <w:spacing w:before="300" w:after="150"/>
      </w:pPr>
      <w:r>
        <w:rPr>
          <w:b/>
          <w:bCs/>
          <w:color w:val="7B241C"/>
          <w:sz w:val="24"/>
          <w:szCs w:val="24"/>
        </w:rPr>
        <w:t>6.5 Business Implication</w:t>
      </w:r>
    </w:p>
    <w:p w14:paraId="11984250">
      <w:pPr>
        <w:spacing w:after="150" w:line="276" w:lineRule="auto"/>
      </w:pPr>
      <w:r>
        <w:rPr>
          <w:sz w:val="21"/>
          <w:szCs w:val="21"/>
        </w:rPr>
        <w:t>Because the late-delivery pattern is systemic rather than concentrated, addressing it is unlikely to be solved by managing a specific seller, state, or category — it more likely requires reviewing delivery-promise-setting or logistics/fulfillment processes at a broader operational level. The absence of a meaningful return-rate difference between late and on-time orders suggests that, at least within this dataset, late delivery is not currently a major driver of return volume, though it may still affect customer experience in ways not captured by return rate alone.</w:t>
      </w:r>
    </w:p>
    <w:p w14:paraId="1955CA61">
      <w:r>
        <w:br w:type="page"/>
      </w:r>
    </w:p>
    <w:p w14:paraId="3636799A">
      <w:pPr>
        <w:pStyle w:val="2"/>
        <w:pBdr>
          <w:bottom w:val="single" w:color="1F3864" w:sz="6" w:space="4"/>
        </w:pBdr>
        <w:spacing w:before="400" w:after="200"/>
      </w:pPr>
      <w:r>
        <w:rPr>
          <w:b/>
          <w:bCs/>
          <w:color w:val="1F3864"/>
          <w:sz w:val="30"/>
          <w:szCs w:val="30"/>
        </w:rPr>
        <w:t>7. Problem 5 — Seller / Regional Profitability Leakage</w:t>
      </w:r>
    </w:p>
    <w:p w14:paraId="184571FB">
      <w:pPr>
        <w:pBdr>
          <w:left w:val="single" w:color="1F3864" w:sz="18" w:space="8"/>
        </w:pBdr>
        <w:spacing w:before="150" w:after="150"/>
        <w:ind w:left="300"/>
      </w:pPr>
      <w:r>
        <w:rPr>
          <w:i/>
          <w:iCs/>
          <w:color w:val="1A1A1A"/>
          <w:sz w:val="21"/>
          <w:szCs w:val="21"/>
        </w:rPr>
        <w:t>What is driving negative profit margins among sellers in Maharashtra and Tamil Nadu, and how does this relate to seller tier?</w:t>
      </w:r>
    </w:p>
    <w:p w14:paraId="350200C3">
      <w:pPr>
        <w:pStyle w:val="3"/>
        <w:spacing w:before="300" w:after="150"/>
      </w:pPr>
      <w:r>
        <w:rPr>
          <w:b/>
          <w:bCs/>
          <w:color w:val="7B241C"/>
          <w:sz w:val="24"/>
          <w:szCs w:val="24"/>
        </w:rPr>
        <w:t>7.1 Problem</w:t>
      </w:r>
    </w:p>
    <w:p w14:paraId="71150D66">
      <w:pPr>
        <w:spacing w:after="150" w:line="276" w:lineRule="auto"/>
      </w:pPr>
      <w:r>
        <w:rPr>
          <w:sz w:val="21"/>
          <w:szCs w:val="21"/>
        </w:rPr>
        <w:t>Maharashtra and Tamil Nadu are high-revenue seller states (₹13,86,90,304.91 and ₹7,29,44,349.49 respectively, per Report 1's seller-state figures) but were also identified as the only two states with a negative overall seller profit margin (-0.93% and -0.28%). Given their revenue scale, these two states warranted focused investigation into which sellers and categories drive the shortfall.</w:t>
      </w:r>
    </w:p>
    <w:p w14:paraId="12DB61F2">
      <w:pPr>
        <w:pStyle w:val="3"/>
        <w:spacing w:before="300" w:after="150"/>
      </w:pPr>
      <w:r>
        <w:rPr>
          <w:b/>
          <w:bCs/>
          <w:color w:val="7B241C"/>
          <w:sz w:val="24"/>
          <w:szCs w:val="24"/>
        </w:rPr>
        <w:t>7.2 Diagnostic Evidence</w:t>
      </w:r>
    </w:p>
    <w:p w14:paraId="3D24561B">
      <w:pPr>
        <w:spacing w:after="150" w:line="276" w:lineRule="auto"/>
      </w:pPr>
      <w:r>
        <w:rPr>
          <w:sz w:val="21"/>
          <w:szCs w:val="21"/>
        </w:rPr>
        <w:t>Category-level profitability within each state mirrors the pattern already seen at the national level in Problem 1 — Electronics is the only category negative in both states, and by a wide margin:</w:t>
      </w:r>
    </w:p>
    <w:tbl>
      <w:tblPr>
        <w:tblStyle w:val="9"/>
        <w:tblW w:w="8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900"/>
        <w:gridCol w:w="2100"/>
        <w:gridCol w:w="1500"/>
      </w:tblGrid>
      <w:tr w14:paraId="226E2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shd w:val="clear" w:color="auto" w:fill="1F3864"/>
            <w:tcMar>
              <w:top w:w="80" w:type="dxa"/>
              <w:left w:w="100" w:type="dxa"/>
              <w:bottom w:w="80" w:type="dxa"/>
              <w:right w:w="100" w:type="dxa"/>
            </w:tcMar>
          </w:tcPr>
          <w:p w14:paraId="6C4EB561">
            <w:pPr>
              <w:jc w:val="center"/>
            </w:pPr>
            <w:r>
              <w:rPr>
                <w:b/>
                <w:bCs/>
                <w:color w:val="FFFFFF"/>
                <w:sz w:val="19"/>
                <w:szCs w:val="19"/>
              </w:rPr>
              <w:t>State</w:t>
            </w:r>
          </w:p>
        </w:tc>
        <w:tc>
          <w:tcPr>
            <w:tcW w:w="2900" w:type="dxa"/>
            <w:shd w:val="clear" w:color="auto" w:fill="1F3864"/>
            <w:tcMar>
              <w:top w:w="80" w:type="dxa"/>
              <w:left w:w="100" w:type="dxa"/>
              <w:bottom w:w="80" w:type="dxa"/>
              <w:right w:w="100" w:type="dxa"/>
            </w:tcMar>
          </w:tcPr>
          <w:p w14:paraId="1D53394C">
            <w:pPr>
              <w:jc w:val="center"/>
            </w:pPr>
            <w:r>
              <w:rPr>
                <w:b/>
                <w:bCs/>
                <w:color w:val="FFFFFF"/>
                <w:sz w:val="19"/>
                <w:szCs w:val="19"/>
              </w:rPr>
              <w:t>Category</w:t>
            </w:r>
          </w:p>
        </w:tc>
        <w:tc>
          <w:tcPr>
            <w:tcW w:w="2100" w:type="dxa"/>
            <w:shd w:val="clear" w:color="auto" w:fill="1F3864"/>
            <w:tcMar>
              <w:top w:w="80" w:type="dxa"/>
              <w:left w:w="100" w:type="dxa"/>
              <w:bottom w:w="80" w:type="dxa"/>
              <w:right w:w="100" w:type="dxa"/>
            </w:tcMar>
          </w:tcPr>
          <w:p w14:paraId="7D4F36EC">
            <w:pPr>
              <w:jc w:val="center"/>
            </w:pPr>
            <w:r>
              <w:rPr>
                <w:b/>
                <w:bCs/>
                <w:color w:val="FFFFFF"/>
                <w:sz w:val="19"/>
                <w:szCs w:val="19"/>
              </w:rPr>
              <w:t>Revenue (₹)</w:t>
            </w:r>
          </w:p>
        </w:tc>
        <w:tc>
          <w:tcPr>
            <w:tcW w:w="1500" w:type="dxa"/>
            <w:shd w:val="clear" w:color="auto" w:fill="1F3864"/>
            <w:tcMar>
              <w:top w:w="80" w:type="dxa"/>
              <w:left w:w="100" w:type="dxa"/>
              <w:bottom w:w="80" w:type="dxa"/>
              <w:right w:w="100" w:type="dxa"/>
            </w:tcMar>
          </w:tcPr>
          <w:p w14:paraId="7955A0F6">
            <w:pPr>
              <w:jc w:val="center"/>
            </w:pPr>
            <w:r>
              <w:rPr>
                <w:b/>
                <w:bCs/>
                <w:color w:val="FFFFFF"/>
                <w:sz w:val="19"/>
                <w:szCs w:val="19"/>
              </w:rPr>
              <w:t>Margin %</w:t>
            </w:r>
          </w:p>
        </w:tc>
      </w:tr>
      <w:tr w14:paraId="3B7E2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tcPr>
          <w:p w14:paraId="723088F9">
            <w:pPr>
              <w:jc w:val="left"/>
            </w:pPr>
            <w:r>
              <w:rPr>
                <w:b w:val="0"/>
                <w:bCs w:val="0"/>
                <w:color w:val="000000"/>
                <w:sz w:val="19"/>
                <w:szCs w:val="19"/>
              </w:rPr>
              <w:t>Maharashtra</w:t>
            </w:r>
          </w:p>
        </w:tc>
        <w:tc>
          <w:tcPr>
            <w:tcW w:w="2900" w:type="dxa"/>
            <w:tcMar>
              <w:top w:w="80" w:type="dxa"/>
              <w:left w:w="100" w:type="dxa"/>
              <w:bottom w:w="80" w:type="dxa"/>
              <w:right w:w="100" w:type="dxa"/>
            </w:tcMar>
          </w:tcPr>
          <w:p w14:paraId="6B52F020">
            <w:pPr>
              <w:jc w:val="left"/>
            </w:pPr>
            <w:r>
              <w:rPr>
                <w:b w:val="0"/>
                <w:bCs w:val="0"/>
                <w:color w:val="000000"/>
                <w:sz w:val="19"/>
                <w:szCs w:val="19"/>
              </w:rPr>
              <w:t>Electronics</w:t>
            </w:r>
          </w:p>
        </w:tc>
        <w:tc>
          <w:tcPr>
            <w:tcW w:w="2100" w:type="dxa"/>
            <w:tcMar>
              <w:top w:w="80" w:type="dxa"/>
              <w:left w:w="100" w:type="dxa"/>
              <w:bottom w:w="80" w:type="dxa"/>
              <w:right w:w="100" w:type="dxa"/>
            </w:tcMar>
          </w:tcPr>
          <w:p w14:paraId="5476CAC7">
            <w:pPr>
              <w:jc w:val="left"/>
            </w:pPr>
            <w:r>
              <w:rPr>
                <w:b w:val="0"/>
                <w:bCs w:val="0"/>
                <w:color w:val="000000"/>
                <w:sz w:val="19"/>
                <w:szCs w:val="19"/>
              </w:rPr>
              <w:t>9,62,60,432.45</w:t>
            </w:r>
          </w:p>
        </w:tc>
        <w:tc>
          <w:tcPr>
            <w:tcW w:w="1500" w:type="dxa"/>
            <w:tcMar>
              <w:top w:w="80" w:type="dxa"/>
              <w:left w:w="100" w:type="dxa"/>
              <w:bottom w:w="80" w:type="dxa"/>
              <w:right w:w="100" w:type="dxa"/>
            </w:tcMar>
          </w:tcPr>
          <w:p w14:paraId="6B28A001">
            <w:pPr>
              <w:jc w:val="left"/>
            </w:pPr>
            <w:r>
              <w:rPr>
                <w:b w:val="0"/>
                <w:bCs w:val="0"/>
                <w:color w:val="000000"/>
                <w:sz w:val="19"/>
                <w:szCs w:val="19"/>
              </w:rPr>
              <w:t>-3.93%</w:t>
            </w:r>
          </w:p>
        </w:tc>
      </w:tr>
      <w:tr w14:paraId="3855A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2F2F2"/>
            <w:tcMar>
              <w:top w:w="80" w:type="dxa"/>
              <w:left w:w="100" w:type="dxa"/>
              <w:bottom w:w="80" w:type="dxa"/>
              <w:right w:w="100" w:type="dxa"/>
            </w:tcMar>
          </w:tcPr>
          <w:p w14:paraId="73A90420">
            <w:pPr>
              <w:jc w:val="left"/>
            </w:pPr>
            <w:r>
              <w:rPr>
                <w:b w:val="0"/>
                <w:bCs w:val="0"/>
                <w:color w:val="000000"/>
                <w:sz w:val="19"/>
                <w:szCs w:val="19"/>
              </w:rPr>
              <w:t>Maharashtra</w:t>
            </w:r>
          </w:p>
        </w:tc>
        <w:tc>
          <w:tcPr>
            <w:tcW w:w="2900" w:type="dxa"/>
            <w:shd w:val="clear" w:color="auto" w:fill="F2F2F2"/>
            <w:tcMar>
              <w:top w:w="80" w:type="dxa"/>
              <w:left w:w="100" w:type="dxa"/>
              <w:bottom w:w="80" w:type="dxa"/>
              <w:right w:w="100" w:type="dxa"/>
            </w:tcMar>
          </w:tcPr>
          <w:p w14:paraId="2AE456D9">
            <w:pPr>
              <w:jc w:val="left"/>
            </w:pPr>
            <w:r>
              <w:rPr>
                <w:b w:val="0"/>
                <w:bCs w:val="0"/>
                <w:color w:val="000000"/>
                <w:sz w:val="19"/>
                <w:szCs w:val="19"/>
              </w:rPr>
              <w:t>Grocery</w:t>
            </w:r>
          </w:p>
        </w:tc>
        <w:tc>
          <w:tcPr>
            <w:tcW w:w="2100" w:type="dxa"/>
            <w:shd w:val="clear" w:color="auto" w:fill="F2F2F2"/>
            <w:tcMar>
              <w:top w:w="80" w:type="dxa"/>
              <w:left w:w="100" w:type="dxa"/>
              <w:bottom w:w="80" w:type="dxa"/>
              <w:right w:w="100" w:type="dxa"/>
            </w:tcMar>
          </w:tcPr>
          <w:p w14:paraId="4AC9C0A2">
            <w:pPr>
              <w:jc w:val="left"/>
            </w:pPr>
            <w:r>
              <w:rPr>
                <w:b w:val="0"/>
                <w:bCs w:val="0"/>
                <w:color w:val="000000"/>
                <w:sz w:val="19"/>
                <w:szCs w:val="19"/>
              </w:rPr>
              <w:t>7,48,419.30</w:t>
            </w:r>
          </w:p>
        </w:tc>
        <w:tc>
          <w:tcPr>
            <w:tcW w:w="1500" w:type="dxa"/>
            <w:shd w:val="clear" w:color="auto" w:fill="F2F2F2"/>
            <w:tcMar>
              <w:top w:w="80" w:type="dxa"/>
              <w:left w:w="100" w:type="dxa"/>
              <w:bottom w:w="80" w:type="dxa"/>
              <w:right w:w="100" w:type="dxa"/>
            </w:tcMar>
          </w:tcPr>
          <w:p w14:paraId="32971B56">
            <w:pPr>
              <w:jc w:val="left"/>
            </w:pPr>
            <w:r>
              <w:rPr>
                <w:b w:val="0"/>
                <w:bCs w:val="0"/>
                <w:color w:val="000000"/>
                <w:sz w:val="19"/>
                <w:szCs w:val="19"/>
              </w:rPr>
              <w:t>-2.53%</w:t>
            </w:r>
          </w:p>
        </w:tc>
      </w:tr>
      <w:tr w14:paraId="38976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tcPr>
          <w:p w14:paraId="011B1874">
            <w:pPr>
              <w:jc w:val="left"/>
            </w:pPr>
            <w:r>
              <w:rPr>
                <w:b w:val="0"/>
                <w:bCs w:val="0"/>
                <w:color w:val="000000"/>
                <w:sz w:val="19"/>
                <w:szCs w:val="19"/>
              </w:rPr>
              <w:t>Maharashtra</w:t>
            </w:r>
          </w:p>
        </w:tc>
        <w:tc>
          <w:tcPr>
            <w:tcW w:w="2900" w:type="dxa"/>
            <w:tcMar>
              <w:top w:w="80" w:type="dxa"/>
              <w:left w:w="100" w:type="dxa"/>
              <w:bottom w:w="80" w:type="dxa"/>
              <w:right w:w="100" w:type="dxa"/>
            </w:tcMar>
          </w:tcPr>
          <w:p w14:paraId="160613F2">
            <w:pPr>
              <w:jc w:val="left"/>
              <w:rPr>
                <w:rFonts w:hint="default"/>
                <w:lang w:val="en-US"/>
              </w:rPr>
            </w:pPr>
            <w:r>
              <w:rPr>
                <w:rFonts w:hint="default" w:ascii="Times New Roman" w:hAnsi="Times New Roman" w:eastAsia="SimSun" w:cs="Times New Roman"/>
                <w:b w:val="0"/>
                <w:bCs w:val="0"/>
                <w:sz w:val="18"/>
                <w:szCs w:val="18"/>
              </w:rPr>
              <w:t>Beauty &amp; Personal Care</w:t>
            </w:r>
            <w:r>
              <w:rPr>
                <w:rFonts w:hint="default" w:ascii="Times New Roman" w:hAnsi="Times New Roman" w:eastAsia="SimSun" w:cs="Times New Roman"/>
                <w:b w:val="0"/>
                <w:bCs w:val="0"/>
                <w:sz w:val="18"/>
                <w:szCs w:val="18"/>
                <w:lang w:val="en-US"/>
              </w:rPr>
              <w:t xml:space="preserve"> </w:t>
            </w:r>
            <w:r>
              <w:rPr>
                <w:b w:val="0"/>
                <w:bCs w:val="0"/>
                <w:color w:val="000000"/>
                <w:sz w:val="19"/>
                <w:szCs w:val="19"/>
              </w:rPr>
              <w:t>(best)</w:t>
            </w:r>
          </w:p>
        </w:tc>
        <w:tc>
          <w:tcPr>
            <w:tcW w:w="2100" w:type="dxa"/>
            <w:tcMar>
              <w:top w:w="80" w:type="dxa"/>
              <w:left w:w="100" w:type="dxa"/>
              <w:bottom w:w="80" w:type="dxa"/>
              <w:right w:w="100" w:type="dxa"/>
            </w:tcMar>
          </w:tcPr>
          <w:p w14:paraId="5AF59CDF">
            <w:pPr>
              <w:jc w:val="left"/>
              <w:rPr>
                <w:rFonts w:hint="default"/>
                <w:lang w:val="en-US"/>
              </w:rPr>
            </w:pPr>
            <w:r>
              <w:rPr>
                <w:rFonts w:hint="default"/>
                <w:b w:val="0"/>
                <w:bCs w:val="0"/>
                <w:color w:val="000000"/>
                <w:sz w:val="19"/>
                <w:szCs w:val="19"/>
                <w:lang w:val="en-US"/>
              </w:rPr>
              <w:t>53,51,714.27</w:t>
            </w:r>
          </w:p>
        </w:tc>
        <w:tc>
          <w:tcPr>
            <w:tcW w:w="1500" w:type="dxa"/>
            <w:tcMar>
              <w:top w:w="80" w:type="dxa"/>
              <w:left w:w="100" w:type="dxa"/>
              <w:bottom w:w="80" w:type="dxa"/>
              <w:right w:w="100" w:type="dxa"/>
            </w:tcMar>
          </w:tcPr>
          <w:p w14:paraId="28651B34">
            <w:pPr>
              <w:jc w:val="left"/>
            </w:pPr>
            <w:r>
              <w:rPr>
                <w:rFonts w:hint="default" w:ascii="Times New Roman" w:hAnsi="Times New Roman" w:eastAsia="SimSun" w:cs="Times New Roman"/>
                <w:sz w:val="18"/>
                <w:szCs w:val="18"/>
              </w:rPr>
              <w:t>10.39%</w:t>
            </w:r>
          </w:p>
        </w:tc>
      </w:tr>
      <w:tr w14:paraId="17FDD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2F2F2"/>
            <w:tcMar>
              <w:top w:w="80" w:type="dxa"/>
              <w:left w:w="100" w:type="dxa"/>
              <w:bottom w:w="80" w:type="dxa"/>
              <w:right w:w="100" w:type="dxa"/>
            </w:tcMar>
          </w:tcPr>
          <w:p w14:paraId="167537EB">
            <w:pPr>
              <w:jc w:val="left"/>
            </w:pPr>
            <w:r>
              <w:rPr>
                <w:b w:val="0"/>
                <w:bCs w:val="0"/>
                <w:color w:val="000000"/>
                <w:sz w:val="19"/>
                <w:szCs w:val="19"/>
              </w:rPr>
              <w:t>Tamil Nadu</w:t>
            </w:r>
          </w:p>
        </w:tc>
        <w:tc>
          <w:tcPr>
            <w:tcW w:w="2900" w:type="dxa"/>
            <w:shd w:val="clear" w:color="auto" w:fill="F2F2F2"/>
            <w:tcMar>
              <w:top w:w="80" w:type="dxa"/>
              <w:left w:w="100" w:type="dxa"/>
              <w:bottom w:w="80" w:type="dxa"/>
              <w:right w:w="100" w:type="dxa"/>
            </w:tcMar>
          </w:tcPr>
          <w:p w14:paraId="3679495A">
            <w:pPr>
              <w:jc w:val="left"/>
            </w:pPr>
            <w:r>
              <w:rPr>
                <w:b w:val="0"/>
                <w:bCs w:val="0"/>
                <w:color w:val="000000"/>
                <w:sz w:val="19"/>
                <w:szCs w:val="19"/>
              </w:rPr>
              <w:t>Electronics</w:t>
            </w:r>
          </w:p>
        </w:tc>
        <w:tc>
          <w:tcPr>
            <w:tcW w:w="2100" w:type="dxa"/>
            <w:shd w:val="clear" w:color="auto" w:fill="F2F2F2"/>
            <w:tcMar>
              <w:top w:w="80" w:type="dxa"/>
              <w:left w:w="100" w:type="dxa"/>
              <w:bottom w:w="80" w:type="dxa"/>
              <w:right w:w="100" w:type="dxa"/>
            </w:tcMar>
          </w:tcPr>
          <w:p w14:paraId="1F292628">
            <w:pPr>
              <w:jc w:val="left"/>
            </w:pPr>
            <w:r>
              <w:rPr>
                <w:b w:val="0"/>
                <w:bCs w:val="0"/>
                <w:color w:val="000000"/>
                <w:sz w:val="19"/>
                <w:szCs w:val="19"/>
              </w:rPr>
              <w:t>4,89,92,597.35</w:t>
            </w:r>
          </w:p>
        </w:tc>
        <w:tc>
          <w:tcPr>
            <w:tcW w:w="1500" w:type="dxa"/>
            <w:shd w:val="clear" w:color="auto" w:fill="F2F2F2"/>
            <w:tcMar>
              <w:top w:w="80" w:type="dxa"/>
              <w:left w:w="100" w:type="dxa"/>
              <w:bottom w:w="80" w:type="dxa"/>
              <w:right w:w="100" w:type="dxa"/>
            </w:tcMar>
          </w:tcPr>
          <w:p w14:paraId="23658E78">
            <w:pPr>
              <w:jc w:val="left"/>
            </w:pPr>
            <w:r>
              <w:rPr>
                <w:b w:val="0"/>
                <w:bCs w:val="0"/>
                <w:color w:val="000000"/>
                <w:sz w:val="19"/>
                <w:szCs w:val="19"/>
              </w:rPr>
              <w:t>-2.76%</w:t>
            </w:r>
          </w:p>
        </w:tc>
      </w:tr>
      <w:tr w14:paraId="20A7F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tcPr>
          <w:p w14:paraId="3B3029BD">
            <w:pPr>
              <w:jc w:val="left"/>
            </w:pPr>
            <w:r>
              <w:rPr>
                <w:b w:val="0"/>
                <w:bCs w:val="0"/>
                <w:color w:val="000000"/>
                <w:sz w:val="19"/>
                <w:szCs w:val="19"/>
              </w:rPr>
              <w:t>Tamil Nadu</w:t>
            </w:r>
          </w:p>
        </w:tc>
        <w:tc>
          <w:tcPr>
            <w:tcW w:w="2900" w:type="dxa"/>
            <w:tcMar>
              <w:top w:w="80" w:type="dxa"/>
              <w:left w:w="100" w:type="dxa"/>
              <w:bottom w:w="80" w:type="dxa"/>
              <w:right w:w="100" w:type="dxa"/>
            </w:tcMar>
          </w:tcPr>
          <w:p w14:paraId="475B62D6">
            <w:pPr>
              <w:jc w:val="left"/>
            </w:pPr>
            <w:r>
              <w:rPr>
                <w:b w:val="0"/>
                <w:bCs w:val="0"/>
                <w:color w:val="000000"/>
                <w:sz w:val="19"/>
                <w:szCs w:val="19"/>
              </w:rPr>
              <w:t>Grocery</w:t>
            </w:r>
          </w:p>
        </w:tc>
        <w:tc>
          <w:tcPr>
            <w:tcW w:w="2100" w:type="dxa"/>
            <w:tcMar>
              <w:top w:w="80" w:type="dxa"/>
              <w:left w:w="100" w:type="dxa"/>
              <w:bottom w:w="80" w:type="dxa"/>
              <w:right w:w="100" w:type="dxa"/>
            </w:tcMar>
          </w:tcPr>
          <w:p w14:paraId="7B6E6B4B">
            <w:pPr>
              <w:jc w:val="left"/>
            </w:pPr>
            <w:r>
              <w:rPr>
                <w:b w:val="0"/>
                <w:bCs w:val="0"/>
                <w:color w:val="000000"/>
                <w:sz w:val="19"/>
                <w:szCs w:val="19"/>
              </w:rPr>
              <w:t>21,13,478.91</w:t>
            </w:r>
          </w:p>
        </w:tc>
        <w:tc>
          <w:tcPr>
            <w:tcW w:w="1500" w:type="dxa"/>
            <w:tcMar>
              <w:top w:w="80" w:type="dxa"/>
              <w:left w:w="100" w:type="dxa"/>
              <w:bottom w:w="80" w:type="dxa"/>
              <w:right w:w="100" w:type="dxa"/>
            </w:tcMar>
          </w:tcPr>
          <w:p w14:paraId="2399A911">
            <w:pPr>
              <w:jc w:val="left"/>
            </w:pPr>
            <w:r>
              <w:rPr>
                <w:b w:val="0"/>
                <w:bCs w:val="0"/>
                <w:color w:val="000000"/>
                <w:sz w:val="19"/>
                <w:szCs w:val="19"/>
              </w:rPr>
              <w:t>-3.84%</w:t>
            </w:r>
          </w:p>
        </w:tc>
      </w:tr>
      <w:tr w14:paraId="74442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2F2F2"/>
            <w:tcMar>
              <w:top w:w="80" w:type="dxa"/>
              <w:left w:w="100" w:type="dxa"/>
              <w:bottom w:w="80" w:type="dxa"/>
              <w:right w:w="100" w:type="dxa"/>
            </w:tcMar>
          </w:tcPr>
          <w:p w14:paraId="366C08D4">
            <w:pPr>
              <w:jc w:val="left"/>
            </w:pPr>
            <w:r>
              <w:rPr>
                <w:b w:val="0"/>
                <w:bCs w:val="0"/>
                <w:color w:val="000000"/>
                <w:sz w:val="19"/>
                <w:szCs w:val="19"/>
              </w:rPr>
              <w:t>Tamil Nadu</w:t>
            </w:r>
          </w:p>
        </w:tc>
        <w:tc>
          <w:tcPr>
            <w:tcW w:w="2900" w:type="dxa"/>
            <w:shd w:val="clear" w:color="auto" w:fill="F2F2F2"/>
            <w:tcMar>
              <w:top w:w="80" w:type="dxa"/>
              <w:left w:w="100" w:type="dxa"/>
              <w:bottom w:w="80" w:type="dxa"/>
              <w:right w:w="100" w:type="dxa"/>
            </w:tcMar>
          </w:tcPr>
          <w:p w14:paraId="2C2762CD">
            <w:pPr>
              <w:jc w:val="left"/>
            </w:pPr>
            <w:r>
              <w:rPr>
                <w:b w:val="0"/>
                <w:bCs w:val="0"/>
                <w:color w:val="000000"/>
                <w:sz w:val="19"/>
                <w:szCs w:val="19"/>
              </w:rPr>
              <w:t>Beauty &amp; Personal Care (best)</w:t>
            </w:r>
          </w:p>
        </w:tc>
        <w:tc>
          <w:tcPr>
            <w:tcW w:w="2100" w:type="dxa"/>
            <w:shd w:val="clear" w:color="auto" w:fill="F2F2F2"/>
            <w:tcMar>
              <w:top w:w="80" w:type="dxa"/>
              <w:left w:w="100" w:type="dxa"/>
              <w:bottom w:w="80" w:type="dxa"/>
              <w:right w:w="100" w:type="dxa"/>
            </w:tcMar>
          </w:tcPr>
          <w:p w14:paraId="31EF7094">
            <w:pPr>
              <w:jc w:val="left"/>
            </w:pPr>
            <w:r>
              <w:rPr>
                <w:b w:val="0"/>
                <w:bCs w:val="0"/>
                <w:color w:val="000000"/>
                <w:sz w:val="19"/>
                <w:szCs w:val="19"/>
              </w:rPr>
              <w:t>33,40,902.50</w:t>
            </w:r>
          </w:p>
        </w:tc>
        <w:tc>
          <w:tcPr>
            <w:tcW w:w="1500" w:type="dxa"/>
            <w:shd w:val="clear" w:color="auto" w:fill="F2F2F2"/>
            <w:tcMar>
              <w:top w:w="80" w:type="dxa"/>
              <w:left w:w="100" w:type="dxa"/>
              <w:bottom w:w="80" w:type="dxa"/>
              <w:right w:w="100" w:type="dxa"/>
            </w:tcMar>
          </w:tcPr>
          <w:p w14:paraId="6881B917">
            <w:pPr>
              <w:jc w:val="left"/>
            </w:pPr>
            <w:r>
              <w:rPr>
                <w:b w:val="0"/>
                <w:bCs w:val="0"/>
                <w:color w:val="000000"/>
                <w:sz w:val="19"/>
                <w:szCs w:val="19"/>
              </w:rPr>
              <w:t>10.79%</w:t>
            </w:r>
          </w:p>
        </w:tc>
      </w:tr>
    </w:tbl>
    <w:p w14:paraId="45A774F3">
      <w:pPr>
        <w:spacing w:after="150" w:line="276" w:lineRule="auto"/>
      </w:pPr>
      <w:r>
        <w:rPr>
          <w:sz w:val="21"/>
          <w:szCs w:val="21"/>
        </w:rPr>
        <w:t>All six other categories are profitable in both states, with margins broadly comparable to the equivalent national figures from Problem 1 — indicating the state-level losses are not a distinct, new phenomenon but the same Electronics/Grocery pattern replicated regionally.</w:t>
      </w:r>
    </w:p>
    <w:p w14:paraId="182F8F46">
      <w:pPr>
        <w:spacing w:after="150" w:line="276" w:lineRule="auto"/>
      </w:pPr>
      <w:r>
        <w:rPr>
          <w:sz w:val="21"/>
          <w:szCs w:val="21"/>
        </w:rPr>
        <w:t>The October effect is also present at the state level, closely matching the magnitude seen nationally in Problem 2:</w:t>
      </w:r>
    </w:p>
    <w:tbl>
      <w:tblPr>
        <w:tblStyle w:val="9"/>
        <w:tblW w:w="8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200"/>
        <w:gridCol w:w="2000"/>
        <w:gridCol w:w="2300"/>
      </w:tblGrid>
      <w:tr w14:paraId="62860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shd w:val="clear" w:color="auto" w:fill="1F3864"/>
            <w:tcMar>
              <w:top w:w="80" w:type="dxa"/>
              <w:left w:w="100" w:type="dxa"/>
              <w:bottom w:w="80" w:type="dxa"/>
              <w:right w:w="100" w:type="dxa"/>
            </w:tcMar>
          </w:tcPr>
          <w:p w14:paraId="7A98D8B3">
            <w:pPr>
              <w:jc w:val="center"/>
            </w:pPr>
            <w:r>
              <w:rPr>
                <w:b/>
                <w:bCs/>
                <w:color w:val="FFFFFF"/>
                <w:sz w:val="19"/>
                <w:szCs w:val="19"/>
              </w:rPr>
              <w:t>State</w:t>
            </w:r>
          </w:p>
        </w:tc>
        <w:tc>
          <w:tcPr>
            <w:tcW w:w="2200" w:type="dxa"/>
            <w:shd w:val="clear" w:color="auto" w:fill="1F3864"/>
            <w:tcMar>
              <w:top w:w="80" w:type="dxa"/>
              <w:left w:w="100" w:type="dxa"/>
              <w:bottom w:w="80" w:type="dxa"/>
              <w:right w:w="100" w:type="dxa"/>
            </w:tcMar>
          </w:tcPr>
          <w:p w14:paraId="38209CB0">
            <w:pPr>
              <w:jc w:val="center"/>
            </w:pPr>
            <w:r>
              <w:rPr>
                <w:b/>
                <w:bCs/>
                <w:color w:val="FFFFFF"/>
                <w:sz w:val="19"/>
                <w:szCs w:val="19"/>
              </w:rPr>
              <w:t>Period</w:t>
            </w:r>
          </w:p>
        </w:tc>
        <w:tc>
          <w:tcPr>
            <w:tcW w:w="2000" w:type="dxa"/>
            <w:shd w:val="clear" w:color="auto" w:fill="1F3864"/>
            <w:tcMar>
              <w:top w:w="80" w:type="dxa"/>
              <w:left w:w="100" w:type="dxa"/>
              <w:bottom w:w="80" w:type="dxa"/>
              <w:right w:w="100" w:type="dxa"/>
            </w:tcMar>
          </w:tcPr>
          <w:p w14:paraId="2459D942">
            <w:pPr>
              <w:jc w:val="center"/>
            </w:pPr>
            <w:r>
              <w:rPr>
                <w:b/>
                <w:bCs/>
                <w:color w:val="FFFFFF"/>
                <w:sz w:val="19"/>
                <w:szCs w:val="19"/>
              </w:rPr>
              <w:t>Margin %</w:t>
            </w:r>
          </w:p>
        </w:tc>
        <w:tc>
          <w:tcPr>
            <w:tcW w:w="2300" w:type="dxa"/>
            <w:shd w:val="clear" w:color="auto" w:fill="1F3864"/>
            <w:tcMar>
              <w:top w:w="80" w:type="dxa"/>
              <w:left w:w="100" w:type="dxa"/>
              <w:bottom w:w="80" w:type="dxa"/>
              <w:right w:w="100" w:type="dxa"/>
            </w:tcMar>
          </w:tcPr>
          <w:p w14:paraId="49AEDDEA">
            <w:pPr>
              <w:jc w:val="center"/>
            </w:pPr>
            <w:r>
              <w:rPr>
                <w:b/>
                <w:bCs/>
                <w:color w:val="FFFFFF"/>
                <w:sz w:val="19"/>
                <w:szCs w:val="19"/>
              </w:rPr>
              <w:t>Avg. Discount %</w:t>
            </w:r>
          </w:p>
        </w:tc>
      </w:tr>
      <w:tr w14:paraId="7089C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tcPr>
          <w:p w14:paraId="753056E9">
            <w:pPr>
              <w:jc w:val="left"/>
            </w:pPr>
            <w:r>
              <w:rPr>
                <w:b w:val="0"/>
                <w:bCs w:val="0"/>
                <w:color w:val="000000"/>
                <w:sz w:val="19"/>
                <w:szCs w:val="19"/>
              </w:rPr>
              <w:t>Maharashtra</w:t>
            </w:r>
          </w:p>
        </w:tc>
        <w:tc>
          <w:tcPr>
            <w:tcW w:w="2200" w:type="dxa"/>
            <w:tcMar>
              <w:top w:w="80" w:type="dxa"/>
              <w:left w:w="100" w:type="dxa"/>
              <w:bottom w:w="80" w:type="dxa"/>
              <w:right w:w="100" w:type="dxa"/>
            </w:tcMar>
          </w:tcPr>
          <w:p w14:paraId="52A6A420">
            <w:pPr>
              <w:jc w:val="left"/>
            </w:pPr>
            <w:r>
              <w:rPr>
                <w:b w:val="0"/>
                <w:bCs w:val="0"/>
                <w:color w:val="000000"/>
                <w:sz w:val="19"/>
                <w:szCs w:val="19"/>
              </w:rPr>
              <w:t>October (Festive)</w:t>
            </w:r>
          </w:p>
        </w:tc>
        <w:tc>
          <w:tcPr>
            <w:tcW w:w="2000" w:type="dxa"/>
            <w:tcMar>
              <w:top w:w="80" w:type="dxa"/>
              <w:left w:w="100" w:type="dxa"/>
              <w:bottom w:w="80" w:type="dxa"/>
              <w:right w:w="100" w:type="dxa"/>
            </w:tcMar>
          </w:tcPr>
          <w:p w14:paraId="1EA68297">
            <w:pPr>
              <w:jc w:val="left"/>
            </w:pPr>
            <w:r>
              <w:rPr>
                <w:b w:val="0"/>
                <w:bCs w:val="0"/>
                <w:color w:val="000000"/>
                <w:sz w:val="19"/>
                <w:szCs w:val="19"/>
              </w:rPr>
              <w:t>-15.64%</w:t>
            </w:r>
          </w:p>
        </w:tc>
        <w:tc>
          <w:tcPr>
            <w:tcW w:w="2300" w:type="dxa"/>
            <w:tcMar>
              <w:top w:w="80" w:type="dxa"/>
              <w:left w:w="100" w:type="dxa"/>
              <w:bottom w:w="80" w:type="dxa"/>
              <w:right w:w="100" w:type="dxa"/>
            </w:tcMar>
          </w:tcPr>
          <w:p w14:paraId="707510CA">
            <w:pPr>
              <w:jc w:val="left"/>
            </w:pPr>
            <w:r>
              <w:rPr>
                <w:b w:val="0"/>
                <w:bCs w:val="0"/>
                <w:color w:val="000000"/>
                <w:sz w:val="19"/>
                <w:szCs w:val="19"/>
              </w:rPr>
              <w:t>29.65%</w:t>
            </w:r>
          </w:p>
        </w:tc>
      </w:tr>
      <w:tr w14:paraId="7273F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2F2F2"/>
            <w:tcMar>
              <w:top w:w="80" w:type="dxa"/>
              <w:left w:w="100" w:type="dxa"/>
              <w:bottom w:w="80" w:type="dxa"/>
              <w:right w:w="100" w:type="dxa"/>
            </w:tcMar>
          </w:tcPr>
          <w:p w14:paraId="4E2C1E16">
            <w:pPr>
              <w:jc w:val="left"/>
            </w:pPr>
            <w:r>
              <w:rPr>
                <w:b w:val="0"/>
                <w:bCs w:val="0"/>
                <w:color w:val="000000"/>
                <w:sz w:val="19"/>
                <w:szCs w:val="19"/>
              </w:rPr>
              <w:t>Maharashtra</w:t>
            </w:r>
          </w:p>
        </w:tc>
        <w:tc>
          <w:tcPr>
            <w:tcW w:w="2200" w:type="dxa"/>
            <w:shd w:val="clear" w:color="auto" w:fill="F2F2F2"/>
            <w:tcMar>
              <w:top w:w="80" w:type="dxa"/>
              <w:left w:w="100" w:type="dxa"/>
              <w:bottom w:w="80" w:type="dxa"/>
              <w:right w:w="100" w:type="dxa"/>
            </w:tcMar>
          </w:tcPr>
          <w:p w14:paraId="0539295F">
            <w:pPr>
              <w:jc w:val="left"/>
            </w:pPr>
            <w:r>
              <w:rPr>
                <w:b w:val="0"/>
                <w:bCs w:val="0"/>
                <w:color w:val="000000"/>
                <w:sz w:val="19"/>
                <w:szCs w:val="19"/>
              </w:rPr>
              <w:t>Rest of Year</w:t>
            </w:r>
          </w:p>
        </w:tc>
        <w:tc>
          <w:tcPr>
            <w:tcW w:w="2000" w:type="dxa"/>
            <w:shd w:val="clear" w:color="auto" w:fill="F2F2F2"/>
            <w:tcMar>
              <w:top w:w="80" w:type="dxa"/>
              <w:left w:w="100" w:type="dxa"/>
              <w:bottom w:w="80" w:type="dxa"/>
              <w:right w:w="100" w:type="dxa"/>
            </w:tcMar>
          </w:tcPr>
          <w:p w14:paraId="19102B33">
            <w:pPr>
              <w:jc w:val="left"/>
            </w:pPr>
            <w:r>
              <w:rPr>
                <w:b w:val="0"/>
                <w:bCs w:val="0"/>
                <w:color w:val="000000"/>
                <w:sz w:val="19"/>
                <w:szCs w:val="19"/>
              </w:rPr>
              <w:t>1.46%</w:t>
            </w:r>
          </w:p>
        </w:tc>
        <w:tc>
          <w:tcPr>
            <w:tcW w:w="2300" w:type="dxa"/>
            <w:shd w:val="clear" w:color="auto" w:fill="F2F2F2"/>
            <w:tcMar>
              <w:top w:w="80" w:type="dxa"/>
              <w:left w:w="100" w:type="dxa"/>
              <w:bottom w:w="80" w:type="dxa"/>
              <w:right w:w="100" w:type="dxa"/>
            </w:tcMar>
          </w:tcPr>
          <w:p w14:paraId="440DAB40">
            <w:pPr>
              <w:jc w:val="left"/>
            </w:pPr>
            <w:r>
              <w:rPr>
                <w:b w:val="0"/>
                <w:bCs w:val="0"/>
                <w:color w:val="000000"/>
                <w:sz w:val="19"/>
                <w:szCs w:val="19"/>
              </w:rPr>
              <w:t>16.81%</w:t>
            </w:r>
          </w:p>
        </w:tc>
      </w:tr>
      <w:tr w14:paraId="6573A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tcPr>
          <w:p w14:paraId="656983FF">
            <w:pPr>
              <w:jc w:val="left"/>
            </w:pPr>
            <w:r>
              <w:rPr>
                <w:b w:val="0"/>
                <w:bCs w:val="0"/>
                <w:color w:val="000000"/>
                <w:sz w:val="19"/>
                <w:szCs w:val="19"/>
              </w:rPr>
              <w:t>Tamil Nadu</w:t>
            </w:r>
          </w:p>
        </w:tc>
        <w:tc>
          <w:tcPr>
            <w:tcW w:w="2200" w:type="dxa"/>
            <w:tcMar>
              <w:top w:w="80" w:type="dxa"/>
              <w:left w:w="100" w:type="dxa"/>
              <w:bottom w:w="80" w:type="dxa"/>
              <w:right w:w="100" w:type="dxa"/>
            </w:tcMar>
          </w:tcPr>
          <w:p w14:paraId="1E8E16E4">
            <w:pPr>
              <w:jc w:val="left"/>
            </w:pPr>
            <w:r>
              <w:rPr>
                <w:b w:val="0"/>
                <w:bCs w:val="0"/>
                <w:color w:val="000000"/>
                <w:sz w:val="19"/>
                <w:szCs w:val="19"/>
              </w:rPr>
              <w:t>October (Festive)</w:t>
            </w:r>
          </w:p>
        </w:tc>
        <w:tc>
          <w:tcPr>
            <w:tcW w:w="2000" w:type="dxa"/>
            <w:tcMar>
              <w:top w:w="80" w:type="dxa"/>
              <w:left w:w="100" w:type="dxa"/>
              <w:bottom w:w="80" w:type="dxa"/>
              <w:right w:w="100" w:type="dxa"/>
            </w:tcMar>
          </w:tcPr>
          <w:p w14:paraId="29D02AC1">
            <w:pPr>
              <w:jc w:val="left"/>
            </w:pPr>
            <w:r>
              <w:rPr>
                <w:b w:val="0"/>
                <w:bCs w:val="0"/>
                <w:color w:val="000000"/>
                <w:sz w:val="19"/>
                <w:szCs w:val="19"/>
              </w:rPr>
              <w:t>-15.07%</w:t>
            </w:r>
          </w:p>
        </w:tc>
        <w:tc>
          <w:tcPr>
            <w:tcW w:w="2300" w:type="dxa"/>
            <w:tcMar>
              <w:top w:w="80" w:type="dxa"/>
              <w:left w:w="100" w:type="dxa"/>
              <w:bottom w:w="80" w:type="dxa"/>
              <w:right w:w="100" w:type="dxa"/>
            </w:tcMar>
          </w:tcPr>
          <w:p w14:paraId="68816085">
            <w:pPr>
              <w:jc w:val="left"/>
            </w:pPr>
            <w:r>
              <w:rPr>
                <w:b w:val="0"/>
                <w:bCs w:val="0"/>
                <w:color w:val="000000"/>
                <w:sz w:val="19"/>
                <w:szCs w:val="19"/>
              </w:rPr>
              <w:t>30.26%</w:t>
            </w:r>
          </w:p>
        </w:tc>
      </w:tr>
      <w:tr w14:paraId="3A66F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2F2F2"/>
            <w:tcMar>
              <w:top w:w="80" w:type="dxa"/>
              <w:left w:w="100" w:type="dxa"/>
              <w:bottom w:w="80" w:type="dxa"/>
              <w:right w:w="100" w:type="dxa"/>
            </w:tcMar>
          </w:tcPr>
          <w:p w14:paraId="7A164C4B">
            <w:pPr>
              <w:jc w:val="left"/>
            </w:pPr>
            <w:r>
              <w:rPr>
                <w:b w:val="0"/>
                <w:bCs w:val="0"/>
                <w:color w:val="000000"/>
                <w:sz w:val="19"/>
                <w:szCs w:val="19"/>
              </w:rPr>
              <w:t>Tamil Nadu</w:t>
            </w:r>
          </w:p>
        </w:tc>
        <w:tc>
          <w:tcPr>
            <w:tcW w:w="2200" w:type="dxa"/>
            <w:shd w:val="clear" w:color="auto" w:fill="F2F2F2"/>
            <w:tcMar>
              <w:top w:w="80" w:type="dxa"/>
              <w:left w:w="100" w:type="dxa"/>
              <w:bottom w:w="80" w:type="dxa"/>
              <w:right w:w="100" w:type="dxa"/>
            </w:tcMar>
          </w:tcPr>
          <w:p w14:paraId="4560AA96">
            <w:pPr>
              <w:jc w:val="left"/>
            </w:pPr>
            <w:r>
              <w:rPr>
                <w:b w:val="0"/>
                <w:bCs w:val="0"/>
                <w:color w:val="000000"/>
                <w:sz w:val="19"/>
                <w:szCs w:val="19"/>
              </w:rPr>
              <w:t>Rest of Year</w:t>
            </w:r>
          </w:p>
        </w:tc>
        <w:tc>
          <w:tcPr>
            <w:tcW w:w="2000" w:type="dxa"/>
            <w:shd w:val="clear" w:color="auto" w:fill="F2F2F2"/>
            <w:tcMar>
              <w:top w:w="80" w:type="dxa"/>
              <w:left w:w="100" w:type="dxa"/>
              <w:bottom w:w="80" w:type="dxa"/>
              <w:right w:w="100" w:type="dxa"/>
            </w:tcMar>
          </w:tcPr>
          <w:p w14:paraId="0640E69E">
            <w:pPr>
              <w:jc w:val="left"/>
            </w:pPr>
            <w:r>
              <w:rPr>
                <w:b w:val="0"/>
                <w:bCs w:val="0"/>
                <w:color w:val="000000"/>
                <w:sz w:val="19"/>
                <w:szCs w:val="19"/>
              </w:rPr>
              <w:t>1.98%</w:t>
            </w:r>
          </w:p>
        </w:tc>
        <w:tc>
          <w:tcPr>
            <w:tcW w:w="2300" w:type="dxa"/>
            <w:shd w:val="clear" w:color="auto" w:fill="F2F2F2"/>
            <w:tcMar>
              <w:top w:w="80" w:type="dxa"/>
              <w:left w:w="100" w:type="dxa"/>
              <w:bottom w:w="80" w:type="dxa"/>
              <w:right w:w="100" w:type="dxa"/>
            </w:tcMar>
          </w:tcPr>
          <w:p w14:paraId="5FBA4975">
            <w:pPr>
              <w:jc w:val="left"/>
            </w:pPr>
            <w:r>
              <w:rPr>
                <w:b w:val="0"/>
                <w:bCs w:val="0"/>
                <w:color w:val="000000"/>
                <w:sz w:val="19"/>
                <w:szCs w:val="19"/>
              </w:rPr>
              <w:t>17.36%</w:t>
            </w:r>
          </w:p>
        </w:tc>
      </w:tr>
    </w:tbl>
    <w:p w14:paraId="2DE09A88">
      <w:pPr>
        <w:spacing w:after="150" w:line="276" w:lineRule="auto"/>
      </w:pPr>
      <w:r>
        <w:rPr>
          <w:sz w:val="21"/>
          <w:szCs w:val="21"/>
        </w:rPr>
        <w:t>Both states show a margin drop of similar magnitude (roughly 17 percentage points) alongside a near-doubling of average discount during October, matching the national pattern from Problem 2 almost exactly.</w:t>
      </w:r>
    </w:p>
    <w:p w14:paraId="01781B66">
      <w:pPr>
        <w:spacing w:after="150" w:line="276" w:lineRule="auto"/>
      </w:pPr>
      <w:r>
        <w:rPr>
          <w:sz w:val="21"/>
          <w:szCs w:val="21"/>
        </w:rPr>
        <w:t>At the individual seller level, losses are concentrated among a specific set of sellers rather than spread evenly — the top loss-making seller in Maharashtra (Digital Bazaar, SELR000392) alone accounts for -₹18,78,200.93 in net profit on ₹2,74,70,788.55 of revenue (a -6.84% margin, with 55.87% of its items loss-making), and the top loss-making seller in Tamil Nadu (Pandey Gadget Bazaar, SELR000474) shows -₹8,48,136.52 on ₹2,42,43,751.88 of revenue. Both of the top loss-making sellers in each state carry discount levels (17.81%-17.88%) close to the Electronics-category average, rather than showing unusually extreme discounting.</w:t>
      </w:r>
    </w:p>
    <w:p w14:paraId="203FACAE">
      <w:pPr>
        <w:spacing w:after="150" w:line="276" w:lineRule="auto"/>
      </w:pPr>
      <w:r>
        <w:rPr>
          <w:sz w:val="21"/>
          <w:szCs w:val="21"/>
        </w:rPr>
        <w:t>Seller-tier analysis, however, shows that loss-making sellers are not concentrated in any one tier — the share of loss-making sellers is broadly similar across High (23.44%), Medium (25.62%), and Low (25.84%) tiers. Notably, High-tier sellers have the lowest share of loss-making sellers among the three tiers, yet the High tier as a whole records the lowest overall margin (1.54%, vs. 3.47% for Medium and 1.48% for Low) — consistent with the Problem 1 finding that High-tier sellers carry a heavier revenue concentration in the negative-margin Electronics category.</w:t>
      </w:r>
    </w:p>
    <w:p w14:paraId="691F7E35">
      <w:pPr>
        <w:pStyle w:val="3"/>
        <w:spacing w:before="300" w:after="150"/>
      </w:pPr>
      <w:r>
        <w:rPr>
          <w:b/>
          <w:bCs/>
          <w:color w:val="7B241C"/>
          <w:sz w:val="24"/>
          <w:szCs w:val="24"/>
        </w:rPr>
        <w:t>7.3 Identified Drivers</w:t>
      </w:r>
    </w:p>
    <w:p w14:paraId="0E307642">
      <w:pPr>
        <w:spacing w:after="150" w:line="276" w:lineRule="auto"/>
      </w:pPr>
      <w:r>
        <w:rPr>
          <w:sz w:val="21"/>
          <w:szCs w:val="21"/>
        </w:rPr>
        <w:t>The evidence indicates that Maharashtra and Tamil Nadu's negative seller margins are driven by the same two factors identified nationally: a structurally negative-margin Electronics category (and, to a lesser extent, Grocery) and a pronounced October discount spike, both replicated at the state level with a magnitude closely matching the national pattern. Within each state, losses are further concentrated in a small number of individual sellers with persistently negative contribution, though these top loss-making sellers do not show discount levels dramatically different from the category norm — their losses appear more closely tied to being Electronics-heavy sellers operating within an already thin-margin category. The issue is not restricted to a single seller tier; High-tier sellers, despite having the fewest loss-making sellers proportionally, post the lowest tier-level margin, which is consistent with their greater revenue exposure to Electronics.</w:t>
      </w:r>
    </w:p>
    <w:p w14:paraId="00A4C69A">
      <w:pPr>
        <w:pStyle w:val="3"/>
        <w:spacing w:before="300" w:after="150"/>
      </w:pPr>
      <w:r>
        <w:rPr>
          <w:b/>
          <w:bCs/>
          <w:color w:val="7B241C"/>
          <w:sz w:val="24"/>
          <w:szCs w:val="24"/>
        </w:rPr>
        <w:t>7.4 Recommended Actions</w:t>
      </w:r>
    </w:p>
    <w:p w14:paraId="6F276331">
      <w:pPr>
        <w:pStyle w:val="18"/>
        <w:numPr>
          <w:ilvl w:val="0"/>
          <w:numId w:val="1"/>
        </w:numPr>
        <w:spacing w:after="80" w:line="270" w:lineRule="auto"/>
      </w:pPr>
      <w:r>
        <w:rPr>
          <w:b/>
          <w:bCs/>
          <w:sz w:val="21"/>
          <w:szCs w:val="21"/>
        </w:rPr>
        <w:t xml:space="preserve">Seller-level profitability dashboards: </w:t>
      </w:r>
      <w:r>
        <w:rPr>
          <w:sz w:val="21"/>
          <w:szCs w:val="21"/>
        </w:rPr>
        <w:t>track net profit and margin per seller on an ongoing basis, since the analysis shows losses are concentrated in specific sellers rather than spread evenly — aggregate state or tier figures alone would mask this concentration.</w:t>
      </w:r>
    </w:p>
    <w:p w14:paraId="6A69B1F6">
      <w:pPr>
        <w:pStyle w:val="18"/>
        <w:numPr>
          <w:ilvl w:val="0"/>
          <w:numId w:val="1"/>
        </w:numPr>
        <w:spacing w:after="80" w:line="270" w:lineRule="auto"/>
      </w:pPr>
      <w:r>
        <w:rPr>
          <w:b/>
          <w:bCs/>
          <w:sz w:val="21"/>
          <w:szCs w:val="21"/>
        </w:rPr>
        <w:t xml:space="preserve">Category-specific discount controls, applied at the seller level: </w:t>
      </w:r>
      <w:r>
        <w:rPr>
          <w:sz w:val="21"/>
          <w:szCs w:val="21"/>
        </w:rPr>
        <w:t>given that top loss-making sellers in both states operate primarily in Electronics, discount ceilings for that category (as recommended in Problem 1) should be enforced consistently across sellers within it.</w:t>
      </w:r>
    </w:p>
    <w:p w14:paraId="7E740C76">
      <w:pPr>
        <w:pStyle w:val="18"/>
        <w:numPr>
          <w:ilvl w:val="0"/>
          <w:numId w:val="1"/>
        </w:numPr>
        <w:spacing w:after="80" w:line="270" w:lineRule="auto"/>
      </w:pPr>
      <w:r>
        <w:rPr>
          <w:b/>
          <w:bCs/>
          <w:sz w:val="21"/>
          <w:szCs w:val="21"/>
        </w:rPr>
        <w:t xml:space="preserve">Review loss-making seller/SKU combinations directly: </w:t>
      </w:r>
      <w:r>
        <w:rPr>
          <w:sz w:val="21"/>
          <w:szCs w:val="21"/>
        </w:rPr>
        <w:t>investigate persistent loss-making sellers such as Digital Bazaar (Maharashtra) and Pandey Gadget Bazaar (Tamil Nadu) individually — the diagnostic data identifies them as the largest state-level loss contributors and warrants a closer seller-specific review rather than a category-wide response alone.</w:t>
      </w:r>
    </w:p>
    <w:p w14:paraId="17D56F13">
      <w:pPr>
        <w:pStyle w:val="18"/>
        <w:numPr>
          <w:ilvl w:val="0"/>
          <w:numId w:val="1"/>
        </w:numPr>
        <w:spacing w:after="80" w:line="270" w:lineRule="auto"/>
      </w:pPr>
      <w:r>
        <w:rPr>
          <w:b/>
          <w:bCs/>
          <w:sz w:val="21"/>
          <w:szCs w:val="21"/>
        </w:rPr>
        <w:t xml:space="preserve">Seller-specific commercial interventions, based on evidence rather than tier: </w:t>
      </w:r>
      <w:r>
        <w:rPr>
          <w:sz w:val="21"/>
          <w:szCs w:val="21"/>
        </w:rPr>
        <w:t>since loss-making sellers are not concentrated in a single tier, interventions (e.g., pricing guidance, margin requirements) should be triggered by a seller's own profitability data rather than by tier classification alone.</w:t>
      </w:r>
    </w:p>
    <w:p w14:paraId="43E00A4C">
      <w:pPr>
        <w:pStyle w:val="18"/>
        <w:numPr>
          <w:ilvl w:val="0"/>
          <w:numId w:val="1"/>
        </w:numPr>
        <w:spacing w:after="80" w:line="270" w:lineRule="auto"/>
      </w:pPr>
      <w:r>
        <w:rPr>
          <w:b/>
          <w:bCs/>
          <w:sz w:val="21"/>
          <w:szCs w:val="21"/>
        </w:rPr>
        <w:t xml:space="preserve">Minimum margin requirements for Electronics-heavy sellers: </w:t>
      </w:r>
      <w:r>
        <w:rPr>
          <w:sz w:val="21"/>
          <w:szCs w:val="21"/>
        </w:rPr>
        <w:t>apply the category-level margin floor recommended in Problem 1 uniformly to sellers regardless of tier, since High-tier status did not protect against negative category-level margin in this analysis.</w:t>
      </w:r>
    </w:p>
    <w:p w14:paraId="609C8D6E">
      <w:pPr>
        <w:pStyle w:val="3"/>
        <w:spacing w:before="300" w:after="150"/>
      </w:pPr>
      <w:r>
        <w:rPr>
          <w:b/>
          <w:bCs/>
          <w:color w:val="7B241C"/>
          <w:sz w:val="24"/>
          <w:szCs w:val="24"/>
        </w:rPr>
        <w:t>7.5 Business Implication</w:t>
      </w:r>
    </w:p>
    <w:p w14:paraId="7C048693">
      <w:pPr>
        <w:spacing w:after="150" w:line="276" w:lineRule="auto"/>
      </w:pPr>
      <w:r>
        <w:rPr>
          <w:sz w:val="21"/>
          <w:szCs w:val="21"/>
        </w:rPr>
        <w:t>Maharashtra and Tamil Nadu's seller losses are not a standalone regional issue — they reflect the same category (Electronics/Grocery) and seasonal (October) patterns identified nationally, now visible at the seller level. This suggests that the recommendations for Problems 1 and 2 (category discount limits, margin-aware festive promotions) would likely also address a meaningful share of the state-level seller losses described here, while seller-specific review remains necessary for the small number of persistently loss-making individual sellers identified.</w:t>
      </w:r>
    </w:p>
    <w:p w14:paraId="1B1CEDC4">
      <w:r>
        <w:br w:type="page"/>
      </w:r>
    </w:p>
    <w:p w14:paraId="0153050C">
      <w:pPr>
        <w:pStyle w:val="2"/>
        <w:pBdr>
          <w:bottom w:val="single" w:color="1F3864" w:sz="6" w:space="4"/>
        </w:pBdr>
        <w:spacing w:before="400" w:after="200"/>
      </w:pPr>
      <w:r>
        <w:rPr>
          <w:b/>
          <w:bCs/>
          <w:color w:val="1F3864"/>
          <w:sz w:val="30"/>
          <w:szCs w:val="30"/>
        </w:rPr>
        <w:t>8. Cross-Problem Insights</w:t>
      </w:r>
    </w:p>
    <w:p w14:paraId="0207C22D">
      <w:pPr>
        <w:pStyle w:val="3"/>
        <w:spacing w:before="300" w:after="150"/>
      </w:pPr>
      <w:r>
        <w:rPr>
          <w:b/>
          <w:bCs/>
          <w:color w:val="7B241C"/>
          <w:sz w:val="24"/>
          <w:szCs w:val="24"/>
        </w:rPr>
        <w:t>What the Five Investigations Reveal About BharatKart</w:t>
      </w:r>
    </w:p>
    <w:p w14:paraId="32B6CBFB">
      <w:pPr>
        <w:spacing w:after="150" w:line="276" w:lineRule="auto"/>
      </w:pPr>
      <w:r>
        <w:rPr>
          <w:sz w:val="21"/>
          <w:szCs w:val="21"/>
        </w:rPr>
        <w:t>Examined individually, the five problems could appear to be five unrelated issues — a margin problem, a seasonal problem, a customer-retention problem, a logistics problem, and a regional problem. Read together, however, a smaller number of underlying patterns account for most of what was found:</w:t>
      </w:r>
    </w:p>
    <w:p w14:paraId="154EF4FA">
      <w:pPr>
        <w:pStyle w:val="18"/>
        <w:numPr>
          <w:ilvl w:val="0"/>
          <w:numId w:val="1"/>
        </w:numPr>
        <w:spacing w:after="80" w:line="270" w:lineRule="auto"/>
      </w:pPr>
      <w:r>
        <w:rPr>
          <w:b/>
          <w:bCs/>
          <w:sz w:val="21"/>
          <w:szCs w:val="21"/>
        </w:rPr>
        <w:t xml:space="preserve">Discount depth is the recurring thread across every profitability-related problem. </w:t>
      </w:r>
      <w:r>
        <w:rPr>
          <w:sz w:val="21"/>
          <w:szCs w:val="21"/>
        </w:rPr>
        <w:t>It is the dominant factor separating profitable from loss-making items overall (Problem 1), the primary factor behind October's collapse (Problem 2), and reappears at the state level in Maharashtra and Tamil Nadu (Problem 5) with a magnitude closely matching the national pattern.</w:t>
      </w:r>
    </w:p>
    <w:p w14:paraId="7700B8EF">
      <w:pPr>
        <w:pStyle w:val="18"/>
        <w:numPr>
          <w:ilvl w:val="0"/>
          <w:numId w:val="1"/>
        </w:numPr>
        <w:spacing w:after="80" w:line="270" w:lineRule="auto"/>
      </w:pPr>
      <w:r>
        <w:rPr>
          <w:b/>
          <w:bCs/>
          <w:sz w:val="21"/>
          <w:szCs w:val="21"/>
        </w:rPr>
        <w:t xml:space="preserve">Electronics is a structural profitability weakness, not an isolated anomaly. </w:t>
      </w:r>
      <w:r>
        <w:rPr>
          <w:sz w:val="21"/>
          <w:szCs w:val="21"/>
        </w:rPr>
        <w:t>It is the only category with a negative full-year margin alongside Grocery (Problem 1), it drives VIP customers' below-average margin through category concentration (Problem 3), and it is the dominant negative category in both Maharashtra and Tamil Nadu (Problem 5).</w:t>
      </w:r>
    </w:p>
    <w:p w14:paraId="60CD7B55">
      <w:pPr>
        <w:pStyle w:val="18"/>
        <w:numPr>
          <w:ilvl w:val="0"/>
          <w:numId w:val="1"/>
        </w:numPr>
        <w:spacing w:after="80" w:line="270" w:lineRule="auto"/>
      </w:pPr>
      <w:r>
        <w:rPr>
          <w:b/>
          <w:bCs/>
          <w:sz w:val="21"/>
          <w:szCs w:val="21"/>
        </w:rPr>
        <w:t xml:space="preserve">October is a recurring risk period that touches multiple parts of the business simultaneously. </w:t>
      </w:r>
      <w:r>
        <w:rPr>
          <w:sz w:val="21"/>
          <w:szCs w:val="21"/>
        </w:rPr>
        <w:t>It produces the sharpest margin collapse of the year (Problem 2), coincides with the weakest customer-retention cohort (Problem 3), and reproduces the same collapse regionally in Maharashtra and Tamil Nadu (Problem 5) — the same seasonal event appears to affect profitability, customer behaviour, and regional performance together.</w:t>
      </w:r>
    </w:p>
    <w:p w14:paraId="1A30E4DB">
      <w:pPr>
        <w:pStyle w:val="18"/>
        <w:numPr>
          <w:ilvl w:val="0"/>
          <w:numId w:val="1"/>
        </w:numPr>
        <w:spacing w:after="80" w:line="270" w:lineRule="auto"/>
      </w:pPr>
      <w:r>
        <w:rPr>
          <w:b/>
          <w:bCs/>
          <w:sz w:val="21"/>
          <w:szCs w:val="21"/>
        </w:rPr>
        <w:t xml:space="preserve">Profitability problems are concentrated, not universal. </w:t>
      </w:r>
      <w:r>
        <w:rPr>
          <w:sz w:val="21"/>
          <w:szCs w:val="21"/>
        </w:rPr>
        <w:t>Loss patterns trace back to two categories (Electronics, Grocery) and a specific time window (October/November) rather than being spread evenly across the business — six of eight categories are profitable for most of the year, and the loss concentration is identifiable and addressable rather than diffuse.</w:t>
      </w:r>
    </w:p>
    <w:p w14:paraId="74247AC6">
      <w:pPr>
        <w:pStyle w:val="18"/>
        <w:numPr>
          <w:ilvl w:val="0"/>
          <w:numId w:val="1"/>
        </w:numPr>
        <w:spacing w:after="80" w:line="270" w:lineRule="auto"/>
      </w:pPr>
      <w:r>
        <w:rPr>
          <w:b/>
          <w:bCs/>
          <w:sz w:val="21"/>
          <w:szCs w:val="21"/>
        </w:rPr>
        <w:t xml:space="preserve">Operational (delivery) and profitability problems appear to be separate issues. </w:t>
      </w:r>
      <w:r>
        <w:rPr>
          <w:sz w:val="21"/>
          <w:szCs w:val="21"/>
        </w:rPr>
        <w:t>Unlike the profitability-related problems, late delivery (Problem 4) shows no connection to category, geography, seller, or the discount pattern — it appears to be a distinct, systemic operational issue requiring its own investigation path (and additional data) rather than a symptom of the same root cause.</w:t>
      </w:r>
    </w:p>
    <w:p w14:paraId="30125FDE">
      <w:r>
        <w:br w:type="page"/>
      </w:r>
    </w:p>
    <w:p w14:paraId="77F5E70E">
      <w:pPr>
        <w:pStyle w:val="2"/>
        <w:pBdr>
          <w:bottom w:val="single" w:color="1F3864" w:sz="6" w:space="4"/>
        </w:pBdr>
        <w:spacing w:before="400" w:after="200"/>
      </w:pPr>
      <w:r>
        <w:rPr>
          <w:b/>
          <w:bCs/>
          <w:color w:val="1F3864"/>
          <w:sz w:val="30"/>
          <w:szCs w:val="30"/>
        </w:rPr>
        <w:t>9. Prioritized Action Plan</w:t>
      </w:r>
    </w:p>
    <w:p w14:paraId="311E5A0D">
      <w:pPr>
        <w:spacing w:after="150" w:line="276" w:lineRule="auto"/>
      </w:pPr>
      <w:r>
        <w:rPr>
          <w:sz w:val="21"/>
          <w:szCs w:val="21"/>
        </w:rPr>
        <w:t>The following plan organizes the recommended actions from Sections 3-7 by business urgency and data-readiness, using neutral time-horizon labels rather than ranking the five problems against each other.</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50"/>
        <w:gridCol w:w="3500"/>
        <w:gridCol w:w="2000"/>
        <w:gridCol w:w="2150"/>
      </w:tblGrid>
      <w:tr w14:paraId="0EB94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50" w:type="dxa"/>
            <w:shd w:val="clear" w:color="auto" w:fill="1F3864"/>
            <w:tcMar>
              <w:top w:w="80" w:type="dxa"/>
              <w:left w:w="100" w:type="dxa"/>
              <w:bottom w:w="80" w:type="dxa"/>
              <w:right w:w="100" w:type="dxa"/>
            </w:tcMar>
          </w:tcPr>
          <w:p w14:paraId="7BAE957A">
            <w:pPr>
              <w:jc w:val="center"/>
            </w:pPr>
            <w:r>
              <w:rPr>
                <w:b/>
                <w:bCs/>
                <w:color w:val="FFFFFF"/>
                <w:sz w:val="19"/>
                <w:szCs w:val="19"/>
              </w:rPr>
              <w:t>Time Horizon</w:t>
            </w:r>
          </w:p>
        </w:tc>
        <w:tc>
          <w:tcPr>
            <w:tcW w:w="3500" w:type="dxa"/>
            <w:shd w:val="clear" w:color="auto" w:fill="1F3864"/>
            <w:tcMar>
              <w:top w:w="80" w:type="dxa"/>
              <w:left w:w="100" w:type="dxa"/>
              <w:bottom w:w="80" w:type="dxa"/>
              <w:right w:w="100" w:type="dxa"/>
            </w:tcMar>
          </w:tcPr>
          <w:p w14:paraId="1F6FD976">
            <w:pPr>
              <w:jc w:val="center"/>
            </w:pPr>
            <w:r>
              <w:rPr>
                <w:b/>
                <w:bCs/>
                <w:color w:val="FFFFFF"/>
                <w:sz w:val="19"/>
                <w:szCs w:val="19"/>
              </w:rPr>
              <w:t>Action</w:t>
            </w:r>
          </w:p>
        </w:tc>
        <w:tc>
          <w:tcPr>
            <w:tcW w:w="2000" w:type="dxa"/>
            <w:shd w:val="clear" w:color="auto" w:fill="1F3864"/>
            <w:tcMar>
              <w:top w:w="80" w:type="dxa"/>
              <w:left w:w="100" w:type="dxa"/>
              <w:bottom w:w="80" w:type="dxa"/>
              <w:right w:w="100" w:type="dxa"/>
            </w:tcMar>
          </w:tcPr>
          <w:p w14:paraId="426FFD00">
            <w:pPr>
              <w:jc w:val="center"/>
            </w:pPr>
            <w:r>
              <w:rPr>
                <w:b/>
                <w:bCs/>
                <w:color w:val="FFFFFF"/>
                <w:sz w:val="19"/>
                <w:szCs w:val="19"/>
              </w:rPr>
              <w:t>Problem Addressed</w:t>
            </w:r>
          </w:p>
        </w:tc>
        <w:tc>
          <w:tcPr>
            <w:tcW w:w="2150" w:type="dxa"/>
            <w:shd w:val="clear" w:color="auto" w:fill="1F3864"/>
            <w:tcMar>
              <w:top w:w="80" w:type="dxa"/>
              <w:left w:w="100" w:type="dxa"/>
              <w:bottom w:w="80" w:type="dxa"/>
              <w:right w:w="100" w:type="dxa"/>
            </w:tcMar>
          </w:tcPr>
          <w:p w14:paraId="44174F42">
            <w:pPr>
              <w:jc w:val="center"/>
            </w:pPr>
            <w:r>
              <w:rPr>
                <w:b/>
                <w:bCs/>
                <w:color w:val="FFFFFF"/>
                <w:sz w:val="19"/>
                <w:szCs w:val="19"/>
              </w:rPr>
              <w:t>Reason</w:t>
            </w:r>
          </w:p>
        </w:tc>
      </w:tr>
      <w:tr w14:paraId="4E81B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tcMar>
              <w:top w:w="80" w:type="dxa"/>
              <w:left w:w="100" w:type="dxa"/>
              <w:bottom w:w="80" w:type="dxa"/>
              <w:right w:w="100" w:type="dxa"/>
            </w:tcMar>
          </w:tcPr>
          <w:p w14:paraId="0BB8BAA9">
            <w:pPr>
              <w:jc w:val="left"/>
            </w:pPr>
            <w:r>
              <w:rPr>
                <w:b w:val="0"/>
                <w:bCs w:val="0"/>
                <w:color w:val="000000"/>
                <w:sz w:val="19"/>
                <w:szCs w:val="19"/>
              </w:rPr>
              <w:t>Immediate</w:t>
            </w:r>
          </w:p>
        </w:tc>
        <w:tc>
          <w:tcPr>
            <w:tcW w:w="3500" w:type="dxa"/>
            <w:tcMar>
              <w:top w:w="80" w:type="dxa"/>
              <w:left w:w="100" w:type="dxa"/>
              <w:bottom w:w="80" w:type="dxa"/>
              <w:right w:w="100" w:type="dxa"/>
            </w:tcMar>
          </w:tcPr>
          <w:p w14:paraId="01FAA57D">
            <w:pPr>
              <w:jc w:val="left"/>
            </w:pPr>
            <w:r>
              <w:rPr>
                <w:b w:val="0"/>
                <w:bCs w:val="0"/>
                <w:color w:val="000000"/>
                <w:sz w:val="19"/>
                <w:szCs w:val="19"/>
              </w:rPr>
              <w:t>Introduce margin-aware discount ceilings for Electronics and Grocery</w:t>
            </w:r>
          </w:p>
        </w:tc>
        <w:tc>
          <w:tcPr>
            <w:tcW w:w="2000" w:type="dxa"/>
            <w:tcMar>
              <w:top w:w="80" w:type="dxa"/>
              <w:left w:w="100" w:type="dxa"/>
              <w:bottom w:w="80" w:type="dxa"/>
              <w:right w:w="100" w:type="dxa"/>
            </w:tcMar>
          </w:tcPr>
          <w:p w14:paraId="54788989">
            <w:pPr>
              <w:jc w:val="left"/>
            </w:pPr>
            <w:r>
              <w:rPr>
                <w:b w:val="0"/>
                <w:bCs w:val="0"/>
                <w:color w:val="000000"/>
                <w:sz w:val="19"/>
                <w:szCs w:val="19"/>
              </w:rPr>
              <w:t>Profitability Crisis</w:t>
            </w:r>
          </w:p>
        </w:tc>
        <w:tc>
          <w:tcPr>
            <w:tcW w:w="2150" w:type="dxa"/>
            <w:tcMar>
              <w:top w:w="80" w:type="dxa"/>
              <w:left w:w="100" w:type="dxa"/>
              <w:bottom w:w="80" w:type="dxa"/>
              <w:right w:w="100" w:type="dxa"/>
            </w:tcMar>
          </w:tcPr>
          <w:p w14:paraId="71ACB05D">
            <w:pPr>
              <w:jc w:val="left"/>
            </w:pPr>
            <w:r>
              <w:rPr>
                <w:b w:val="0"/>
                <w:bCs w:val="0"/>
                <w:color w:val="000000"/>
                <w:sz w:val="19"/>
                <w:szCs w:val="19"/>
              </w:rPr>
              <w:t>Discount depth is the largest observed gap between profitable and loss-making items in these categories</w:t>
            </w:r>
          </w:p>
        </w:tc>
      </w:tr>
      <w:tr w14:paraId="22729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shd w:val="clear" w:color="auto" w:fill="F2F2F2"/>
            <w:tcMar>
              <w:top w:w="80" w:type="dxa"/>
              <w:left w:w="100" w:type="dxa"/>
              <w:bottom w:w="80" w:type="dxa"/>
              <w:right w:w="100" w:type="dxa"/>
            </w:tcMar>
          </w:tcPr>
          <w:p w14:paraId="476D79D1">
            <w:pPr>
              <w:jc w:val="left"/>
            </w:pPr>
            <w:r>
              <w:rPr>
                <w:b w:val="0"/>
                <w:bCs w:val="0"/>
                <w:color w:val="000000"/>
                <w:sz w:val="19"/>
                <w:szCs w:val="19"/>
              </w:rPr>
              <w:t>Immediate</w:t>
            </w:r>
          </w:p>
        </w:tc>
        <w:tc>
          <w:tcPr>
            <w:tcW w:w="3500" w:type="dxa"/>
            <w:shd w:val="clear" w:color="auto" w:fill="F2F2F2"/>
            <w:tcMar>
              <w:top w:w="80" w:type="dxa"/>
              <w:left w:w="100" w:type="dxa"/>
              <w:bottom w:w="80" w:type="dxa"/>
              <w:right w:w="100" w:type="dxa"/>
            </w:tcMar>
          </w:tcPr>
          <w:p w14:paraId="5017E19E">
            <w:pPr>
              <w:jc w:val="left"/>
            </w:pPr>
            <w:r>
              <w:rPr>
                <w:b w:val="0"/>
                <w:bCs w:val="0"/>
                <w:color w:val="000000"/>
                <w:sz w:val="19"/>
                <w:szCs w:val="19"/>
              </w:rPr>
              <w:t>Set category-specific festive discount limits ahead of the next October/Q4 cycle</w:t>
            </w:r>
          </w:p>
        </w:tc>
        <w:tc>
          <w:tcPr>
            <w:tcW w:w="2000" w:type="dxa"/>
            <w:shd w:val="clear" w:color="auto" w:fill="F2F2F2"/>
            <w:tcMar>
              <w:top w:w="80" w:type="dxa"/>
              <w:left w:w="100" w:type="dxa"/>
              <w:bottom w:w="80" w:type="dxa"/>
              <w:right w:w="100" w:type="dxa"/>
            </w:tcMar>
          </w:tcPr>
          <w:p w14:paraId="08257D4E">
            <w:pPr>
              <w:jc w:val="left"/>
            </w:pPr>
            <w:r>
              <w:rPr>
                <w:b w:val="0"/>
                <w:bCs w:val="0"/>
                <w:color w:val="000000"/>
                <w:sz w:val="19"/>
                <w:szCs w:val="19"/>
              </w:rPr>
              <w:t>Q4/October Collapse</w:t>
            </w:r>
          </w:p>
        </w:tc>
        <w:tc>
          <w:tcPr>
            <w:tcW w:w="2150" w:type="dxa"/>
            <w:shd w:val="clear" w:color="auto" w:fill="F2F2F2"/>
            <w:tcMar>
              <w:top w:w="80" w:type="dxa"/>
              <w:left w:w="100" w:type="dxa"/>
              <w:bottom w:w="80" w:type="dxa"/>
              <w:right w:w="100" w:type="dxa"/>
            </w:tcMar>
          </w:tcPr>
          <w:p w14:paraId="2C654BB4">
            <w:pPr>
              <w:jc w:val="left"/>
            </w:pPr>
            <w:r>
              <w:rPr>
                <w:b w:val="0"/>
                <w:bCs w:val="0"/>
                <w:color w:val="000000"/>
                <w:sz w:val="19"/>
                <w:szCs w:val="19"/>
              </w:rPr>
              <w:t>October discount levels (~31%) are associated with a 76.48% loss-item share; the pattern worsened from 2024 to 2025</w:t>
            </w:r>
          </w:p>
        </w:tc>
      </w:tr>
      <w:tr w14:paraId="7A04A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tcMar>
              <w:top w:w="80" w:type="dxa"/>
              <w:left w:w="100" w:type="dxa"/>
              <w:bottom w:w="80" w:type="dxa"/>
              <w:right w:w="100" w:type="dxa"/>
            </w:tcMar>
          </w:tcPr>
          <w:p w14:paraId="568716D2">
            <w:pPr>
              <w:jc w:val="left"/>
            </w:pPr>
            <w:r>
              <w:rPr>
                <w:b w:val="0"/>
                <w:bCs w:val="0"/>
                <w:color w:val="000000"/>
                <w:sz w:val="19"/>
                <w:szCs w:val="19"/>
              </w:rPr>
              <w:t>Immediate</w:t>
            </w:r>
          </w:p>
        </w:tc>
        <w:tc>
          <w:tcPr>
            <w:tcW w:w="3500" w:type="dxa"/>
            <w:tcMar>
              <w:top w:w="80" w:type="dxa"/>
              <w:left w:w="100" w:type="dxa"/>
              <w:bottom w:w="80" w:type="dxa"/>
              <w:right w:w="100" w:type="dxa"/>
            </w:tcMar>
          </w:tcPr>
          <w:p w14:paraId="1151C2BF">
            <w:pPr>
              <w:jc w:val="left"/>
            </w:pPr>
            <w:r>
              <w:rPr>
                <w:b w:val="0"/>
                <w:bCs w:val="0"/>
                <w:color w:val="000000"/>
                <w:sz w:val="19"/>
                <w:szCs w:val="19"/>
              </w:rPr>
              <w:t>Monitor top loss-making SKUs (e.g., Signature Accessories 118, Advanced Storage 790)</w:t>
            </w:r>
          </w:p>
        </w:tc>
        <w:tc>
          <w:tcPr>
            <w:tcW w:w="2000" w:type="dxa"/>
            <w:tcMar>
              <w:top w:w="80" w:type="dxa"/>
              <w:left w:w="100" w:type="dxa"/>
              <w:bottom w:w="80" w:type="dxa"/>
              <w:right w:w="100" w:type="dxa"/>
            </w:tcMar>
          </w:tcPr>
          <w:p w14:paraId="6AF3F1B0">
            <w:pPr>
              <w:jc w:val="left"/>
            </w:pPr>
            <w:r>
              <w:rPr>
                <w:b w:val="0"/>
                <w:bCs w:val="0"/>
                <w:color w:val="000000"/>
                <w:sz w:val="19"/>
                <w:szCs w:val="19"/>
              </w:rPr>
              <w:t>Profitability Crisis</w:t>
            </w:r>
          </w:p>
        </w:tc>
        <w:tc>
          <w:tcPr>
            <w:tcW w:w="2150" w:type="dxa"/>
            <w:tcMar>
              <w:top w:w="80" w:type="dxa"/>
              <w:left w:w="100" w:type="dxa"/>
              <w:bottom w:w="80" w:type="dxa"/>
              <w:right w:w="100" w:type="dxa"/>
            </w:tcMar>
          </w:tcPr>
          <w:p w14:paraId="2DCC9CE8">
            <w:pPr>
              <w:jc w:val="left"/>
            </w:pPr>
            <w:r>
              <w:rPr>
                <w:b w:val="0"/>
                <w:bCs w:val="0"/>
                <w:color w:val="000000"/>
                <w:sz w:val="19"/>
                <w:szCs w:val="19"/>
              </w:rPr>
              <w:t>A small set of products contribute disproportionately large individual losses</w:t>
            </w:r>
          </w:p>
        </w:tc>
      </w:tr>
      <w:tr w14:paraId="792D0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shd w:val="clear" w:color="auto" w:fill="F2F2F2"/>
            <w:tcMar>
              <w:top w:w="80" w:type="dxa"/>
              <w:left w:w="100" w:type="dxa"/>
              <w:bottom w:w="80" w:type="dxa"/>
              <w:right w:w="100" w:type="dxa"/>
            </w:tcMar>
          </w:tcPr>
          <w:p w14:paraId="1072000A">
            <w:pPr>
              <w:jc w:val="left"/>
            </w:pPr>
            <w:r>
              <w:rPr>
                <w:b w:val="0"/>
                <w:bCs w:val="0"/>
                <w:color w:val="000000"/>
                <w:sz w:val="19"/>
                <w:szCs w:val="19"/>
              </w:rPr>
              <w:t>Near-term</w:t>
            </w:r>
          </w:p>
        </w:tc>
        <w:tc>
          <w:tcPr>
            <w:tcW w:w="3500" w:type="dxa"/>
            <w:shd w:val="clear" w:color="auto" w:fill="F2F2F2"/>
            <w:tcMar>
              <w:top w:w="80" w:type="dxa"/>
              <w:left w:w="100" w:type="dxa"/>
              <w:bottom w:w="80" w:type="dxa"/>
              <w:right w:w="100" w:type="dxa"/>
            </w:tcMar>
          </w:tcPr>
          <w:p w14:paraId="0F3A6249">
            <w:pPr>
              <w:jc w:val="left"/>
            </w:pPr>
            <w:r>
              <w:rPr>
                <w:b w:val="0"/>
                <w:bCs w:val="0"/>
                <w:color w:val="000000"/>
                <w:sz w:val="19"/>
                <w:szCs w:val="19"/>
              </w:rPr>
              <w:t>Build seller-level profitability dashboards, starting with Maharashtra and Tamil Nadu</w:t>
            </w:r>
          </w:p>
        </w:tc>
        <w:tc>
          <w:tcPr>
            <w:tcW w:w="2000" w:type="dxa"/>
            <w:shd w:val="clear" w:color="auto" w:fill="F2F2F2"/>
            <w:tcMar>
              <w:top w:w="80" w:type="dxa"/>
              <w:left w:w="100" w:type="dxa"/>
              <w:bottom w:w="80" w:type="dxa"/>
              <w:right w:w="100" w:type="dxa"/>
            </w:tcMar>
          </w:tcPr>
          <w:p w14:paraId="6AE1EE5B">
            <w:pPr>
              <w:jc w:val="left"/>
            </w:pPr>
            <w:r>
              <w:rPr>
                <w:b w:val="0"/>
                <w:bCs w:val="0"/>
                <w:color w:val="000000"/>
                <w:sz w:val="19"/>
                <w:szCs w:val="19"/>
              </w:rPr>
              <w:t>Seller/Regional Leakage</w:t>
            </w:r>
          </w:p>
        </w:tc>
        <w:tc>
          <w:tcPr>
            <w:tcW w:w="2150" w:type="dxa"/>
            <w:shd w:val="clear" w:color="auto" w:fill="F2F2F2"/>
            <w:tcMar>
              <w:top w:w="80" w:type="dxa"/>
              <w:left w:w="100" w:type="dxa"/>
              <w:bottom w:w="80" w:type="dxa"/>
              <w:right w:w="100" w:type="dxa"/>
            </w:tcMar>
          </w:tcPr>
          <w:p w14:paraId="3FCB8C4E">
            <w:pPr>
              <w:jc w:val="left"/>
            </w:pPr>
            <w:r>
              <w:rPr>
                <w:b w:val="0"/>
                <w:bCs w:val="0"/>
                <w:color w:val="000000"/>
                <w:sz w:val="19"/>
                <w:szCs w:val="19"/>
              </w:rPr>
              <w:t>Losses are concentrated in specific sellers (e.g., Digital Bazaar, Pandey Gadget Bazaar) that aggregate state/tier figures would otherwise mask</w:t>
            </w:r>
          </w:p>
        </w:tc>
      </w:tr>
      <w:tr w14:paraId="708D3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tcMar>
              <w:top w:w="80" w:type="dxa"/>
              <w:left w:w="100" w:type="dxa"/>
              <w:bottom w:w="80" w:type="dxa"/>
              <w:right w:w="100" w:type="dxa"/>
            </w:tcMar>
          </w:tcPr>
          <w:p w14:paraId="25FDF80F">
            <w:pPr>
              <w:jc w:val="left"/>
            </w:pPr>
            <w:r>
              <w:rPr>
                <w:b w:val="0"/>
                <w:bCs w:val="0"/>
                <w:color w:val="000000"/>
                <w:sz w:val="19"/>
                <w:szCs w:val="19"/>
              </w:rPr>
              <w:t>Near-term</w:t>
            </w:r>
          </w:p>
        </w:tc>
        <w:tc>
          <w:tcPr>
            <w:tcW w:w="3500" w:type="dxa"/>
            <w:tcMar>
              <w:top w:w="80" w:type="dxa"/>
              <w:left w:w="100" w:type="dxa"/>
              <w:bottom w:w="80" w:type="dxa"/>
              <w:right w:w="100" w:type="dxa"/>
            </w:tcMar>
          </w:tcPr>
          <w:p w14:paraId="1E256147">
            <w:pPr>
              <w:jc w:val="left"/>
            </w:pPr>
            <w:r>
              <w:rPr>
                <w:b w:val="0"/>
                <w:bCs w:val="0"/>
                <w:color w:val="000000"/>
                <w:sz w:val="19"/>
                <w:szCs w:val="19"/>
              </w:rPr>
              <w:t>Require minimum contribution-margin thresholds before approving promotional campaigns</w:t>
            </w:r>
          </w:p>
        </w:tc>
        <w:tc>
          <w:tcPr>
            <w:tcW w:w="2000" w:type="dxa"/>
            <w:tcMar>
              <w:top w:w="80" w:type="dxa"/>
              <w:left w:w="100" w:type="dxa"/>
              <w:bottom w:w="80" w:type="dxa"/>
              <w:right w:w="100" w:type="dxa"/>
            </w:tcMar>
          </w:tcPr>
          <w:p w14:paraId="19986376">
            <w:pPr>
              <w:jc w:val="left"/>
            </w:pPr>
            <w:r>
              <w:rPr>
                <w:b w:val="0"/>
                <w:bCs w:val="0"/>
                <w:color w:val="000000"/>
                <w:sz w:val="19"/>
                <w:szCs w:val="19"/>
              </w:rPr>
              <w:t>Q4/October Collapse; Profitability Crisis</w:t>
            </w:r>
          </w:p>
        </w:tc>
        <w:tc>
          <w:tcPr>
            <w:tcW w:w="2150" w:type="dxa"/>
            <w:tcMar>
              <w:top w:w="80" w:type="dxa"/>
              <w:left w:w="100" w:type="dxa"/>
              <w:bottom w:w="80" w:type="dxa"/>
              <w:right w:w="100" w:type="dxa"/>
            </w:tcMar>
          </w:tcPr>
          <w:p w14:paraId="36F88A74">
            <w:pPr>
              <w:jc w:val="left"/>
            </w:pPr>
            <w:r>
              <w:rPr>
                <w:b w:val="0"/>
                <w:bCs w:val="0"/>
                <w:color w:val="000000"/>
                <w:sz w:val="19"/>
                <w:szCs w:val="19"/>
              </w:rPr>
              <w:t>Prevents recurrence of the discount-driven loss pattern identified in both problems</w:t>
            </w:r>
          </w:p>
        </w:tc>
      </w:tr>
      <w:tr w14:paraId="46620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shd w:val="clear" w:color="auto" w:fill="F2F2F2"/>
            <w:tcMar>
              <w:top w:w="80" w:type="dxa"/>
              <w:left w:w="100" w:type="dxa"/>
              <w:bottom w:w="80" w:type="dxa"/>
              <w:right w:w="100" w:type="dxa"/>
            </w:tcMar>
          </w:tcPr>
          <w:p w14:paraId="0F908510">
            <w:pPr>
              <w:jc w:val="left"/>
            </w:pPr>
            <w:r>
              <w:rPr>
                <w:b w:val="0"/>
                <w:bCs w:val="0"/>
                <w:color w:val="000000"/>
                <w:sz w:val="19"/>
                <w:szCs w:val="19"/>
              </w:rPr>
              <w:t>Near-term</w:t>
            </w:r>
          </w:p>
        </w:tc>
        <w:tc>
          <w:tcPr>
            <w:tcW w:w="3500" w:type="dxa"/>
            <w:shd w:val="clear" w:color="auto" w:fill="F2F2F2"/>
            <w:tcMar>
              <w:top w:w="80" w:type="dxa"/>
              <w:left w:w="100" w:type="dxa"/>
              <w:bottom w:w="80" w:type="dxa"/>
              <w:right w:w="100" w:type="dxa"/>
            </w:tcMar>
          </w:tcPr>
          <w:p w14:paraId="0E7C8075">
            <w:pPr>
              <w:jc w:val="left"/>
            </w:pPr>
            <w:r>
              <w:rPr>
                <w:b w:val="0"/>
                <w:bCs w:val="0"/>
                <w:color w:val="000000"/>
                <w:sz w:val="19"/>
                <w:szCs w:val="19"/>
              </w:rPr>
              <w:t>Design category-aware VIP offers that reduce reliance on Electronics discounting</w:t>
            </w:r>
          </w:p>
        </w:tc>
        <w:tc>
          <w:tcPr>
            <w:tcW w:w="2000" w:type="dxa"/>
            <w:shd w:val="clear" w:color="auto" w:fill="F2F2F2"/>
            <w:tcMar>
              <w:top w:w="80" w:type="dxa"/>
              <w:left w:w="100" w:type="dxa"/>
              <w:bottom w:w="80" w:type="dxa"/>
              <w:right w:w="100" w:type="dxa"/>
            </w:tcMar>
          </w:tcPr>
          <w:p w14:paraId="722170F1">
            <w:pPr>
              <w:jc w:val="left"/>
            </w:pPr>
            <w:r>
              <w:rPr>
                <w:b w:val="0"/>
                <w:bCs w:val="0"/>
                <w:color w:val="000000"/>
                <w:sz w:val="19"/>
                <w:szCs w:val="19"/>
              </w:rPr>
              <w:t>Customer Behaviour</w:t>
            </w:r>
          </w:p>
        </w:tc>
        <w:tc>
          <w:tcPr>
            <w:tcW w:w="2150" w:type="dxa"/>
            <w:shd w:val="clear" w:color="auto" w:fill="F2F2F2"/>
            <w:tcMar>
              <w:top w:w="80" w:type="dxa"/>
              <w:left w:w="100" w:type="dxa"/>
              <w:bottom w:w="80" w:type="dxa"/>
              <w:right w:w="100" w:type="dxa"/>
            </w:tcMar>
          </w:tcPr>
          <w:p w14:paraId="45118152">
            <w:pPr>
              <w:jc w:val="left"/>
            </w:pPr>
            <w:r>
              <w:rPr>
                <w:b w:val="0"/>
                <w:bCs w:val="0"/>
                <w:color w:val="000000"/>
                <w:sz w:val="19"/>
                <w:szCs w:val="19"/>
              </w:rPr>
              <w:t>VIP's low margin traces to Electronics concentration, not to VIP-specific discounting</w:t>
            </w:r>
          </w:p>
        </w:tc>
      </w:tr>
      <w:tr w14:paraId="0E7CF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tcMar>
              <w:top w:w="80" w:type="dxa"/>
              <w:left w:w="100" w:type="dxa"/>
              <w:bottom w:w="80" w:type="dxa"/>
              <w:right w:w="100" w:type="dxa"/>
            </w:tcMar>
          </w:tcPr>
          <w:p w14:paraId="7D080310">
            <w:pPr>
              <w:jc w:val="left"/>
            </w:pPr>
            <w:r>
              <w:rPr>
                <w:b w:val="0"/>
                <w:bCs w:val="0"/>
                <w:color w:val="000000"/>
                <w:sz w:val="19"/>
                <w:szCs w:val="19"/>
              </w:rPr>
              <w:t>Medium-term</w:t>
            </w:r>
          </w:p>
        </w:tc>
        <w:tc>
          <w:tcPr>
            <w:tcW w:w="3500" w:type="dxa"/>
            <w:tcMar>
              <w:top w:w="80" w:type="dxa"/>
              <w:left w:w="100" w:type="dxa"/>
              <w:bottom w:w="80" w:type="dxa"/>
              <w:right w:w="100" w:type="dxa"/>
            </w:tcMar>
          </w:tcPr>
          <w:p w14:paraId="794ECAAE">
            <w:pPr>
              <w:jc w:val="left"/>
            </w:pPr>
            <w:r>
              <w:rPr>
                <w:b w:val="0"/>
                <w:bCs w:val="0"/>
                <w:color w:val="000000"/>
                <w:sz w:val="19"/>
                <w:szCs w:val="19"/>
              </w:rPr>
              <w:t>Build a retention program targeted at October-acquired customers</w:t>
            </w:r>
          </w:p>
        </w:tc>
        <w:tc>
          <w:tcPr>
            <w:tcW w:w="2000" w:type="dxa"/>
            <w:tcMar>
              <w:top w:w="80" w:type="dxa"/>
              <w:left w:w="100" w:type="dxa"/>
              <w:bottom w:w="80" w:type="dxa"/>
              <w:right w:w="100" w:type="dxa"/>
            </w:tcMar>
          </w:tcPr>
          <w:p w14:paraId="316A277F">
            <w:pPr>
              <w:jc w:val="left"/>
            </w:pPr>
            <w:r>
              <w:rPr>
                <w:b w:val="0"/>
                <w:bCs w:val="0"/>
                <w:color w:val="000000"/>
                <w:sz w:val="19"/>
                <w:szCs w:val="19"/>
              </w:rPr>
              <w:t>Customer Behaviour</w:t>
            </w:r>
          </w:p>
        </w:tc>
        <w:tc>
          <w:tcPr>
            <w:tcW w:w="2150" w:type="dxa"/>
            <w:tcMar>
              <w:top w:w="80" w:type="dxa"/>
              <w:left w:w="100" w:type="dxa"/>
              <w:bottom w:w="80" w:type="dxa"/>
              <w:right w:w="100" w:type="dxa"/>
            </w:tcMar>
          </w:tcPr>
          <w:p w14:paraId="1036B8E4">
            <w:pPr>
              <w:jc w:val="left"/>
            </w:pPr>
            <w:r>
              <w:rPr>
                <w:rFonts w:hint="default" w:ascii="Times New Roman" w:hAnsi="Times New Roman" w:eastAsia="SimSun" w:cs="Times New Roman"/>
                <w:sz w:val="20"/>
                <w:szCs w:val="20"/>
              </w:rPr>
              <w:t>October cohort shows a 64.06% one-time rate vs. 51.44% for customers acquired in other months</w:t>
            </w:r>
          </w:p>
        </w:tc>
      </w:tr>
      <w:tr w14:paraId="3F7D6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shd w:val="clear" w:color="auto" w:fill="F2F2F2"/>
            <w:tcMar>
              <w:top w:w="80" w:type="dxa"/>
              <w:left w:w="100" w:type="dxa"/>
              <w:bottom w:w="80" w:type="dxa"/>
              <w:right w:w="100" w:type="dxa"/>
            </w:tcMar>
          </w:tcPr>
          <w:p w14:paraId="6AE8614C">
            <w:pPr>
              <w:jc w:val="left"/>
            </w:pPr>
            <w:r>
              <w:rPr>
                <w:b w:val="0"/>
                <w:bCs w:val="0"/>
                <w:color w:val="000000"/>
                <w:sz w:val="19"/>
                <w:szCs w:val="19"/>
              </w:rPr>
              <w:t>Medium-term</w:t>
            </w:r>
          </w:p>
        </w:tc>
        <w:tc>
          <w:tcPr>
            <w:tcW w:w="3500" w:type="dxa"/>
            <w:shd w:val="clear" w:color="auto" w:fill="F2F2F2"/>
            <w:tcMar>
              <w:top w:w="80" w:type="dxa"/>
              <w:left w:w="100" w:type="dxa"/>
              <w:bottom w:w="80" w:type="dxa"/>
              <w:right w:w="100" w:type="dxa"/>
            </w:tcMar>
          </w:tcPr>
          <w:p w14:paraId="3DA3A44B">
            <w:pPr>
              <w:jc w:val="left"/>
            </w:pPr>
            <w:r>
              <w:rPr>
                <w:b w:val="0"/>
                <w:bCs w:val="0"/>
                <w:color w:val="000000"/>
                <w:sz w:val="19"/>
                <w:szCs w:val="19"/>
              </w:rPr>
              <w:t>Investigate the broader one-time-customer pattern beyond October (e.g., by first-order category/value)</w:t>
            </w:r>
          </w:p>
        </w:tc>
        <w:tc>
          <w:tcPr>
            <w:tcW w:w="2000" w:type="dxa"/>
            <w:shd w:val="clear" w:color="auto" w:fill="F2F2F2"/>
            <w:tcMar>
              <w:top w:w="80" w:type="dxa"/>
              <w:left w:w="100" w:type="dxa"/>
              <w:bottom w:w="80" w:type="dxa"/>
              <w:right w:w="100" w:type="dxa"/>
            </w:tcMar>
          </w:tcPr>
          <w:p w14:paraId="0E1BEBC1">
            <w:pPr>
              <w:jc w:val="left"/>
            </w:pPr>
            <w:r>
              <w:rPr>
                <w:b w:val="0"/>
                <w:bCs w:val="0"/>
                <w:color w:val="000000"/>
                <w:sz w:val="19"/>
                <w:szCs w:val="19"/>
              </w:rPr>
              <w:t>Customer Behaviour</w:t>
            </w:r>
          </w:p>
        </w:tc>
        <w:tc>
          <w:tcPr>
            <w:tcW w:w="2150" w:type="dxa"/>
            <w:shd w:val="clear" w:color="auto" w:fill="F2F2F2"/>
            <w:tcMar>
              <w:top w:w="80" w:type="dxa"/>
              <w:left w:w="100" w:type="dxa"/>
              <w:bottom w:w="80" w:type="dxa"/>
              <w:right w:w="100" w:type="dxa"/>
            </w:tcMar>
          </w:tcPr>
          <w:p w14:paraId="05131DAF">
            <w:pPr>
              <w:jc w:val="left"/>
            </w:pPr>
            <w:r>
              <w:rPr>
                <w:b w:val="0"/>
                <w:bCs w:val="0"/>
                <w:color w:val="000000"/>
                <w:sz w:val="19"/>
                <w:szCs w:val="19"/>
              </w:rPr>
              <w:t>October acquisition explains only 13.7% of the total customer base; the remainder of the one-time-customer pattern is not yet explained</w:t>
            </w:r>
          </w:p>
        </w:tc>
      </w:tr>
      <w:tr w14:paraId="609E3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tcMar>
              <w:top w:w="80" w:type="dxa"/>
              <w:left w:w="100" w:type="dxa"/>
              <w:bottom w:w="80" w:type="dxa"/>
              <w:right w:w="100" w:type="dxa"/>
            </w:tcMar>
          </w:tcPr>
          <w:p w14:paraId="6AAC96D3">
            <w:pPr>
              <w:jc w:val="left"/>
            </w:pPr>
            <w:r>
              <w:rPr>
                <w:b w:val="0"/>
                <w:bCs w:val="0"/>
                <w:color w:val="000000"/>
                <w:sz w:val="19"/>
                <w:szCs w:val="19"/>
              </w:rPr>
              <w:t>Data/Infrastructure requirement</w:t>
            </w:r>
          </w:p>
        </w:tc>
        <w:tc>
          <w:tcPr>
            <w:tcW w:w="3500" w:type="dxa"/>
            <w:tcMar>
              <w:top w:w="80" w:type="dxa"/>
              <w:left w:w="100" w:type="dxa"/>
              <w:bottom w:w="80" w:type="dxa"/>
              <w:right w:w="100" w:type="dxa"/>
            </w:tcMar>
          </w:tcPr>
          <w:p w14:paraId="2A1E32AB">
            <w:pPr>
              <w:jc w:val="left"/>
            </w:pPr>
            <w:r>
              <w:rPr>
                <w:b w:val="0"/>
                <w:bCs w:val="0"/>
                <w:color w:val="000000"/>
                <w:sz w:val="19"/>
                <w:szCs w:val="19"/>
              </w:rPr>
              <w:t>Add logistics-partner, transit-hub, and shipment-tracking data</w:t>
            </w:r>
          </w:p>
        </w:tc>
        <w:tc>
          <w:tcPr>
            <w:tcW w:w="2000" w:type="dxa"/>
            <w:tcMar>
              <w:top w:w="80" w:type="dxa"/>
              <w:left w:w="100" w:type="dxa"/>
              <w:bottom w:w="80" w:type="dxa"/>
              <w:right w:w="100" w:type="dxa"/>
            </w:tcMar>
          </w:tcPr>
          <w:p w14:paraId="4B765D0B">
            <w:pPr>
              <w:jc w:val="left"/>
            </w:pPr>
            <w:r>
              <w:rPr>
                <w:b w:val="0"/>
                <w:bCs w:val="0"/>
                <w:color w:val="000000"/>
                <w:sz w:val="19"/>
                <w:szCs w:val="19"/>
              </w:rPr>
              <w:t>Delivery/Operations</w:t>
            </w:r>
          </w:p>
        </w:tc>
        <w:tc>
          <w:tcPr>
            <w:tcW w:w="2150" w:type="dxa"/>
            <w:tcMar>
              <w:top w:w="80" w:type="dxa"/>
              <w:left w:w="100" w:type="dxa"/>
              <w:bottom w:w="80" w:type="dxa"/>
              <w:right w:w="100" w:type="dxa"/>
            </w:tcMar>
          </w:tcPr>
          <w:p w14:paraId="754B8F8C">
            <w:pPr>
              <w:jc w:val="left"/>
            </w:pPr>
            <w:r>
              <w:rPr>
                <w:b w:val="0"/>
                <w:bCs w:val="0"/>
                <w:color w:val="000000"/>
                <w:sz w:val="19"/>
                <w:szCs w:val="19"/>
              </w:rPr>
              <w:t>Current data cannot distinguish carrier-, route-, or hub-level causes of the systemic late-delivery pattern</w:t>
            </w:r>
          </w:p>
        </w:tc>
      </w:tr>
      <w:tr w14:paraId="144B7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shd w:val="clear" w:color="auto" w:fill="F2F2F2"/>
            <w:tcMar>
              <w:top w:w="80" w:type="dxa"/>
              <w:left w:w="100" w:type="dxa"/>
              <w:bottom w:w="80" w:type="dxa"/>
              <w:right w:w="100" w:type="dxa"/>
            </w:tcMar>
          </w:tcPr>
          <w:p w14:paraId="627E8CAD">
            <w:pPr>
              <w:jc w:val="left"/>
            </w:pPr>
            <w:r>
              <w:rPr>
                <w:b w:val="0"/>
                <w:bCs w:val="0"/>
                <w:color w:val="000000"/>
                <w:sz w:val="19"/>
                <w:szCs w:val="19"/>
              </w:rPr>
              <w:t>Data/Infrastructure requirement</w:t>
            </w:r>
          </w:p>
        </w:tc>
        <w:tc>
          <w:tcPr>
            <w:tcW w:w="3500" w:type="dxa"/>
            <w:shd w:val="clear" w:color="auto" w:fill="F2F2F2"/>
            <w:tcMar>
              <w:top w:w="80" w:type="dxa"/>
              <w:left w:w="100" w:type="dxa"/>
              <w:bottom w:w="80" w:type="dxa"/>
              <w:right w:w="100" w:type="dxa"/>
            </w:tcMar>
          </w:tcPr>
          <w:p w14:paraId="688E9B8A">
            <w:pPr>
              <w:jc w:val="left"/>
            </w:pPr>
            <w:r>
              <w:rPr>
                <w:b w:val="0"/>
                <w:bCs w:val="0"/>
                <w:color w:val="000000"/>
                <w:sz w:val="19"/>
                <w:szCs w:val="19"/>
              </w:rPr>
              <w:t>Review promised delivery-window (SLA) settings against actual transit capability</w:t>
            </w:r>
          </w:p>
        </w:tc>
        <w:tc>
          <w:tcPr>
            <w:tcW w:w="2000" w:type="dxa"/>
            <w:shd w:val="clear" w:color="auto" w:fill="F2F2F2"/>
            <w:tcMar>
              <w:top w:w="80" w:type="dxa"/>
              <w:left w:w="100" w:type="dxa"/>
              <w:bottom w:w="80" w:type="dxa"/>
              <w:right w:w="100" w:type="dxa"/>
            </w:tcMar>
          </w:tcPr>
          <w:p w14:paraId="30144827">
            <w:pPr>
              <w:jc w:val="left"/>
            </w:pPr>
            <w:r>
              <w:rPr>
                <w:b w:val="0"/>
                <w:bCs w:val="0"/>
                <w:color w:val="000000"/>
                <w:sz w:val="19"/>
                <w:szCs w:val="19"/>
              </w:rPr>
              <w:t>Delivery/Operations</w:t>
            </w:r>
          </w:p>
        </w:tc>
        <w:tc>
          <w:tcPr>
            <w:tcW w:w="2150" w:type="dxa"/>
            <w:shd w:val="clear" w:color="auto" w:fill="F2F2F2"/>
            <w:tcMar>
              <w:top w:w="80" w:type="dxa"/>
              <w:left w:w="100" w:type="dxa"/>
              <w:bottom w:w="80" w:type="dxa"/>
              <w:right w:w="100" w:type="dxa"/>
            </w:tcMar>
          </w:tcPr>
          <w:p w14:paraId="6454E7B9">
            <w:pPr>
              <w:jc w:val="left"/>
            </w:pPr>
            <w:r>
              <w:rPr>
                <w:b w:val="0"/>
                <w:bCs w:val="0"/>
                <w:color w:val="000000"/>
                <w:sz w:val="19"/>
                <w:szCs w:val="19"/>
              </w:rPr>
              <w:t>Dispatch times are fast and consistent; the delay accumulates after dispatch, pointing toward the SLA/transit stage</w:t>
            </w:r>
          </w:p>
        </w:tc>
      </w:tr>
    </w:tbl>
    <w:p w14:paraId="62D1DE69">
      <w:r>
        <w:br w:type="page"/>
      </w:r>
    </w:p>
    <w:p w14:paraId="160486FD">
      <w:pPr>
        <w:pStyle w:val="2"/>
        <w:pBdr>
          <w:bottom w:val="single" w:color="1F3864" w:sz="6" w:space="4"/>
        </w:pBdr>
        <w:spacing w:before="400" w:after="200"/>
      </w:pPr>
      <w:r>
        <w:rPr>
          <w:b/>
          <w:bCs/>
          <w:color w:val="1F3864"/>
          <w:sz w:val="30"/>
          <w:szCs w:val="30"/>
        </w:rPr>
        <w:t>10. Final Conclusion</w:t>
      </w:r>
    </w:p>
    <w:p w14:paraId="41A914D1">
      <w:pPr>
        <w:spacing w:after="150" w:line="276" w:lineRule="auto"/>
      </w:pPr>
      <w:r>
        <w:rPr>
          <w:sz w:val="21"/>
          <w:szCs w:val="21"/>
        </w:rPr>
        <w:t>BharatKart's central challenge, as this diagnostic analysis shows, is not a shortage of sales. Delivered revenue exceeds ₹87 crore, and October alone generated over ₹7.7 crore in 2025 — the business clearly has demand. The challenge is that a substantial share of that revenue is not converting into profit, and the diagnostic evidence points to specific, identifiable reasons why.</w:t>
      </w:r>
    </w:p>
    <w:p w14:paraId="45AB80D1">
      <w:pPr>
        <w:spacing w:after="150" w:line="276" w:lineRule="auto"/>
      </w:pPr>
      <w:r>
        <w:rPr>
          <w:sz w:val="21"/>
          <w:szCs w:val="21"/>
        </w:rPr>
        <w:t>Discounting that is not calibrated to each category's or product's underlying margin, and two structurally thin-margin categories (Electronics and Grocery), together account for most of the profitability shortfall traced in Problems 1, 2, and 5. October/Q4 is where this pattern is most severe, turning BharatKart's highest-revenue period into its most damaging one for profit, and the same discount-driven weakness shows up again in customer behaviour, where October-acquired customers return at a lower rate, and regionally, where Maharashtra and Tamil Nadu's seller losses mirror the national Electronics/discount pattern. Late delivery, by contrast, stands apart — a broad, systemic operational issue that does not appear connected to the profitability findings and will likely require a separate, data-driven operational investigation to resolve.</w:t>
      </w:r>
    </w:p>
    <w:p w14:paraId="39AE3443">
      <w:pPr>
        <w:spacing w:after="150" w:line="276" w:lineRule="auto"/>
      </w:pPr>
      <w:r>
        <w:rPr>
          <w:sz w:val="21"/>
          <w:szCs w:val="21"/>
        </w:rPr>
        <w:t>Taken together, the analysis points toward a strategy built around six connected priorities:</w:t>
      </w:r>
    </w:p>
    <w:p w14:paraId="09BDA7A0">
      <w:pPr>
        <w:pStyle w:val="18"/>
        <w:numPr>
          <w:ilvl w:val="0"/>
          <w:numId w:val="1"/>
        </w:numPr>
        <w:spacing w:after="80" w:line="270" w:lineRule="auto"/>
      </w:pPr>
      <w:r>
        <w:rPr>
          <w:sz w:val="21"/>
          <w:szCs w:val="21"/>
        </w:rPr>
        <w:t>Margin-aware growth — treating revenue growth and profit growth as separate goals, particularly in Electronics and during festive periods.</w:t>
      </w:r>
    </w:p>
    <w:p w14:paraId="773ECF10">
      <w:pPr>
        <w:pStyle w:val="18"/>
        <w:numPr>
          <w:ilvl w:val="0"/>
          <w:numId w:val="1"/>
        </w:numPr>
        <w:spacing w:after="80" w:line="270" w:lineRule="auto"/>
      </w:pPr>
      <w:r>
        <w:rPr>
          <w:sz w:val="21"/>
          <w:szCs w:val="21"/>
        </w:rPr>
        <w:t>Controlled discounting — setting discount depth relative to each product's margin rather than applying uniform promotional rules.</w:t>
      </w:r>
    </w:p>
    <w:p w14:paraId="3B01F171">
      <w:pPr>
        <w:pStyle w:val="18"/>
        <w:numPr>
          <w:ilvl w:val="0"/>
          <w:numId w:val="1"/>
        </w:numPr>
        <w:spacing w:after="80" w:line="270" w:lineRule="auto"/>
      </w:pPr>
      <w:r>
        <w:rPr>
          <w:sz w:val="21"/>
          <w:szCs w:val="21"/>
        </w:rPr>
        <w:t>Category/SKU profitability — maintaining ongoing visibility into which categories and products are consistently loss-making.</w:t>
      </w:r>
    </w:p>
    <w:p w14:paraId="57F23AB5">
      <w:pPr>
        <w:pStyle w:val="18"/>
        <w:numPr>
          <w:ilvl w:val="0"/>
          <w:numId w:val="1"/>
        </w:numPr>
        <w:spacing w:after="80" w:line="270" w:lineRule="auto"/>
      </w:pPr>
      <w:r>
        <w:rPr>
          <w:sz w:val="21"/>
          <w:szCs w:val="21"/>
        </w:rPr>
        <w:t>Seller-level accountability — monitoring profitability at the individual seller level, since losses concentrate in specific sellers rather than spreading evenly across tiers or regions.</w:t>
      </w:r>
    </w:p>
    <w:p w14:paraId="2F606CB1">
      <w:pPr>
        <w:pStyle w:val="18"/>
        <w:numPr>
          <w:ilvl w:val="0"/>
          <w:numId w:val="1"/>
        </w:numPr>
        <w:spacing w:after="80" w:line="270" w:lineRule="auto"/>
      </w:pPr>
      <w:r>
        <w:rPr>
          <w:sz w:val="21"/>
          <w:szCs w:val="21"/>
        </w:rPr>
        <w:t>Customer retention — with particular attention to the October-acquired cohort and further investigation into the broader one-time-customer pattern.</w:t>
      </w:r>
    </w:p>
    <w:p w14:paraId="73B42BFB">
      <w:pPr>
        <w:pStyle w:val="18"/>
        <w:numPr>
          <w:ilvl w:val="0"/>
          <w:numId w:val="1"/>
        </w:numPr>
        <w:spacing w:after="80" w:line="270" w:lineRule="auto"/>
      </w:pPr>
      <w:r>
        <w:rPr>
          <w:sz w:val="21"/>
          <w:szCs w:val="21"/>
        </w:rPr>
        <w:t>Operational monitoring — treating late delivery as a distinct, systemic issue requiring additional shipment-level data rather than assuming it shares a cause with the profitability problems.</w:t>
      </w:r>
    </w:p>
    <w:p w14:paraId="6B360285">
      <w:pPr>
        <w:spacing w:after="150" w:line="276" w:lineRule="auto"/>
      </w:pPr>
      <w:r>
        <w:rPr>
          <w:sz w:val="21"/>
          <w:szCs w:val="21"/>
        </w:rPr>
        <w:t>None of these priorities requires reducing BharatKart's sales volume or revenue ambition. What the data indicates is that the business's next stage of growth depends less on generating more revenue and more on ensuring that the revenue it already generates converts into profit.</w:t>
      </w:r>
    </w:p>
    <w:p w14:paraId="3A5AD85A">
      <w:pPr>
        <w:spacing w:before="400"/>
      </w:pPr>
    </w:p>
    <w:p w14:paraId="7AF7E044">
      <w:pPr>
        <w:pBdr>
          <w:top w:val="single" w:color="1F3864" w:sz="6" w:space="8"/>
        </w:pBdr>
      </w:pPr>
    </w:p>
    <w:p w14:paraId="57ECF805">
      <w:pPr>
        <w:spacing w:before="150"/>
        <w:jc w:val="center"/>
      </w:pPr>
      <w:r>
        <w:rPr>
          <w:i/>
          <w:iCs/>
          <w:color w:val="595959"/>
          <w:sz w:val="19"/>
          <w:szCs w:val="19"/>
        </w:rPr>
        <w:t>— End of Report 2 —</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92E93">
    <w:pPr>
      <w:jc w:val="center"/>
    </w:pPr>
    <w:r>
      <w:rPr>
        <w:color w:val="595959"/>
        <w:sz w:val="16"/>
        <w:szCs w:val="16"/>
      </w:rPr>
      <w:t xml:space="preserve">Page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279740">
    <w:pPr>
      <w:jc w:val="right"/>
    </w:pPr>
    <w:r>
      <w:rPr>
        <w:color w:val="595959"/>
        <w:sz w:val="16"/>
        <w:szCs w:val="16"/>
      </w:rPr>
      <w:t>BharatKart — Diagnostic Analysis &amp; Business Recommendations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8DF5C16"/>
    <w:rsid w:val="33814F8D"/>
    <w:rsid w:val="3AEB4250"/>
    <w:rsid w:val="540C194A"/>
    <w:rsid w:val="63AD477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rPr>
      <w:rFonts w:ascii="Times New Roman" w:hAnsi="Times New Roman" w:eastAsia="SimSun" w:cs="Times New Roman"/>
      <w:color w:val="2E74B5"/>
      <w:sz w:val="32"/>
      <w:szCs w:val="32"/>
    </w:rPr>
  </w:style>
  <w:style w:type="paragraph" w:styleId="3">
    <w:name w:val="heading 2"/>
    <w:next w:val="1"/>
    <w:qFormat/>
    <w:uiPriority w:val="0"/>
    <w:rPr>
      <w:rFonts w:ascii="Times New Roman" w:hAnsi="Times New Roman" w:eastAsia="SimSun" w:cs="Times New Roman"/>
      <w:color w:val="2E74B5"/>
      <w:sz w:val="26"/>
      <w:szCs w:val="26"/>
    </w:rPr>
  </w:style>
  <w:style w:type="paragraph" w:styleId="4">
    <w:name w:val="heading 3"/>
    <w:next w:val="1"/>
    <w:qFormat/>
    <w:uiPriority w:val="0"/>
    <w:rPr>
      <w:rFonts w:ascii="Times New Roman" w:hAnsi="Times New Roman" w:eastAsia="SimSun" w:cs="Times New Roman"/>
      <w:color w:val="1F4D78"/>
      <w:sz w:val="24"/>
      <w:szCs w:val="24"/>
    </w:rPr>
  </w:style>
  <w:style w:type="paragraph" w:styleId="5">
    <w:name w:val="heading 4"/>
    <w:next w:val="1"/>
    <w:qFormat/>
    <w:uiPriority w:val="0"/>
    <w:rPr>
      <w:rFonts w:ascii="Times New Roman" w:hAnsi="Times New Roman" w:eastAsia="SimSun" w:cs="Times New Roman"/>
      <w:i/>
      <w:iCs/>
      <w:color w:val="2E74B5"/>
      <w:sz w:val="21"/>
      <w:szCs w:val="22"/>
    </w:rPr>
  </w:style>
  <w:style w:type="paragraph" w:styleId="6">
    <w:name w:val="heading 5"/>
    <w:next w:val="1"/>
    <w:qFormat/>
    <w:uiPriority w:val="0"/>
    <w:rPr>
      <w:rFonts w:ascii="Times New Roman" w:hAnsi="Times New Roman" w:eastAsia="SimSun" w:cs="Times New Roman"/>
      <w:color w:val="2E74B5"/>
      <w:sz w:val="21"/>
      <w:szCs w:val="22"/>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uiPriority w:val="99"/>
    <w:pPr>
      <w:spacing w:after="0" w:line="240" w:lineRule="auto"/>
    </w:pPr>
    <w:rPr>
      <w:rFonts w:ascii="Times New Roman" w:hAnsi="Times New Roman" w:eastAsia="SimSun" w:cs="Times New Roman"/>
      <w:sz w:val="20"/>
      <w:szCs w:val="20"/>
    </w:rPr>
  </w:style>
  <w:style w:type="character" w:styleId="12">
    <w:name w:val="footnote reference"/>
    <w:semiHidden/>
    <w:unhideWhenUsed/>
    <w:uiPriority w:val="99"/>
    <w:rPr>
      <w:vertAlign w:val="superscript"/>
    </w:rPr>
  </w:style>
  <w:style w:type="paragraph" w:styleId="13">
    <w:name w:val="footnote text"/>
    <w:link w:val="19"/>
    <w:semiHidden/>
    <w:unhideWhenUsed/>
    <w:qFormat/>
    <w:uiPriority w:val="99"/>
    <w:pPr>
      <w:spacing w:after="0" w:line="240" w:lineRule="auto"/>
    </w:pPr>
    <w:rPr>
      <w:rFonts w:ascii="Times New Roman" w:hAnsi="Times New Roman" w:eastAsia="SimSun" w:cs="Times New Roman"/>
      <w:sz w:val="20"/>
      <w:szCs w:val="20"/>
    </w:rPr>
  </w:style>
  <w:style w:type="character" w:styleId="14">
    <w:name w:val="HTML Code"/>
    <w:basedOn w:val="8"/>
    <w:uiPriority w:val="0"/>
    <w:rPr>
      <w:rFonts w:ascii="Courier New" w:hAnsi="Courier New" w:cs="Courier New"/>
      <w:sz w:val="20"/>
      <w:szCs w:val="20"/>
    </w:rPr>
  </w:style>
  <w:style w:type="character" w:styleId="15">
    <w:name w:val="Hyperlink"/>
    <w:unhideWhenUsed/>
    <w:qFormat/>
    <w:uiPriority w:val="99"/>
    <w:rPr>
      <w:color w:val="0563C1"/>
      <w:u w:val="single"/>
    </w:rPr>
  </w:style>
  <w:style w:type="paragraph" w:styleId="1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7">
    <w:name w:val="Title"/>
    <w:qFormat/>
    <w:uiPriority w:val="0"/>
    <w:rPr>
      <w:rFonts w:ascii="Times New Roman" w:hAnsi="Times New Roman" w:eastAsia="SimSun" w:cs="Times New Roman"/>
      <w:sz w:val="56"/>
      <w:szCs w:val="56"/>
    </w:rPr>
  </w:style>
  <w:style w:type="paragraph" w:styleId="18">
    <w:name w:val="List Paragraph"/>
    <w:qFormat/>
    <w:uiPriority w:val="0"/>
    <w:rPr>
      <w:rFonts w:ascii="Times New Roman" w:hAnsi="Times New Roman" w:eastAsia="SimSun" w:cs="Times New Roman"/>
      <w:sz w:val="21"/>
      <w:szCs w:val="22"/>
    </w:rPr>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5711</Words>
  <Characters>34562</Characters>
  <TotalTime>19</TotalTime>
  <ScaleCrop>false</ScaleCrop>
  <LinksUpToDate>false</LinksUpToDate>
  <CharactersWithSpaces>39852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2026-09-19T07:38:00Z</dcterms:created>
  <dc:creator>Un-named</dc:creator>
  <cp:lastModifiedBy>Krishna Srivastava</cp:lastModifiedBy>
  <dcterms:modified xsi:type="dcterms:W3CDTF">2026-09-20T14:44:53Z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eyJoZGlkIjoiYTc4ZjMwYTdkMjYwZjI1NzJjMTgxMjRhZThlMjU4YTEiLCJ1c2VySWQiOiI1NjcyMDc4MTQ2NzQifQ==</vt:lpwstr>
  </property>
  <property fmtid="{D5CDD505-2E9C-101B-9397-08002B2CF9AE}" pid="3" name="KSOProductBuildVer">
    <vt:lpwstr>1033-12.1.0.28485</vt:lpwstr>
  </property>
  <property fmtid="{D5CDD505-2E9C-101B-9397-08002B2CF9AE}" pid="4" name="ICV">
    <vt:lpwstr>0FEEABE7C4B14B87A30A4AEA643F975F_12</vt:lpwstr>
  </property>
</Properties>
</file>