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6A14" w14:textId="76DA842A" w:rsidR="00CA5C11" w:rsidRDefault="00CA5C11" w:rsidP="00CA5C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KRISHNA VORA</w:t>
      </w:r>
    </w:p>
    <w:p w14:paraId="2FEFBEFD" w14:textId="1DBBA246" w:rsidR="00CA5C11" w:rsidRPr="00CA5C11" w:rsidRDefault="00CA5C11" w:rsidP="00CA5C1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A5C11">
        <w:rPr>
          <w:rFonts w:ascii="Times New Roman" w:hAnsi="Times New Roman" w:cs="Times New Roman"/>
          <w:b/>
          <w:bCs/>
          <w:sz w:val="28"/>
          <w:szCs w:val="28"/>
        </w:rPr>
        <w:t xml:space="preserve">Sentiment Regimes and Trader Behavior on </w:t>
      </w:r>
      <w:proofErr w:type="spellStart"/>
      <w:r w:rsidRPr="00CA5C11">
        <w:rPr>
          <w:rFonts w:ascii="Times New Roman" w:hAnsi="Times New Roman" w:cs="Times New Roman"/>
          <w:b/>
          <w:bCs/>
          <w:sz w:val="28"/>
          <w:szCs w:val="28"/>
        </w:rPr>
        <w:t>Hyperliquid</w:t>
      </w:r>
      <w:proofErr w:type="spellEnd"/>
    </w:p>
    <w:p w14:paraId="1B7EBAEA" w14:textId="77777777" w:rsidR="00CA5C11" w:rsidRPr="00CA5C11" w:rsidRDefault="00CA5C11" w:rsidP="00CA5C1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CA5C11">
        <w:rPr>
          <w:rFonts w:ascii="Times New Roman" w:hAnsi="Times New Roman" w:cs="Times New Roman"/>
          <w:b/>
          <w:bCs/>
          <w:sz w:val="20"/>
          <w:szCs w:val="20"/>
        </w:rPr>
        <w:t>A Quantitative Analysis of Performance and Risk Dynamics</w:t>
      </w:r>
    </w:p>
    <w:p w14:paraId="601A8DC0" w14:textId="77777777" w:rsidR="00CA5C11" w:rsidRPr="00CA5C11" w:rsidRDefault="00CA5C11">
      <w:pPr>
        <w:rPr>
          <w:rFonts w:ascii="Times New Roman" w:hAnsi="Times New Roman" w:cs="Times New Roman"/>
          <w:sz w:val="28"/>
          <w:szCs w:val="28"/>
        </w:rPr>
      </w:pPr>
    </w:p>
    <w:p w14:paraId="5D5E92AE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1. Introduction</w:t>
      </w:r>
    </w:p>
    <w:p w14:paraId="102DF747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This study investigates the relationship between Bitcoin market sentiment (Fear/Greed Index) and trader behavior on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Hyperliquid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>. The objective is to determine whether sentiment regimes influence trading performance, risk-taking behavior, and structural profitability patterns.</w:t>
      </w:r>
    </w:p>
    <w:p w14:paraId="4E741F02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We evaluate whether traders perform differently under Fear versus Greed conditions and identify behavioral archetypes that drive platform-level returns.</w:t>
      </w:r>
    </w:p>
    <w:p w14:paraId="57D65CC0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241B9484">
          <v:rect id="_x0000_i1097" style="width:0;height:1.5pt" o:hralign="center" o:hrstd="t" o:hr="t" fillcolor="#a0a0a0" stroked="f"/>
        </w:pict>
      </w:r>
    </w:p>
    <w:p w14:paraId="55B12776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2. Data Sources</w:t>
      </w:r>
    </w:p>
    <w:p w14:paraId="0843C16C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Two datasets were used:</w:t>
      </w:r>
    </w:p>
    <w:p w14:paraId="2A6000C3" w14:textId="77777777" w:rsidR="00CA5C11" w:rsidRPr="00CA5C11" w:rsidRDefault="00CA5C11" w:rsidP="00CA5C11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Bitcoin Fear/Greed Sentiment Index</w:t>
      </w:r>
    </w:p>
    <w:p w14:paraId="4009F8FB" w14:textId="77777777" w:rsidR="00CA5C11" w:rsidRPr="00CA5C11" w:rsidRDefault="00CA5C11" w:rsidP="00CA5C11">
      <w:pPr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Daily classification (Fear, Greed, etc.)</w:t>
      </w:r>
    </w:p>
    <w:p w14:paraId="59A17B3E" w14:textId="77777777" w:rsidR="00CA5C11" w:rsidRPr="00CA5C11" w:rsidRDefault="00CA5C11" w:rsidP="00CA5C11">
      <w:pPr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Timestamped sentiment records</w:t>
      </w:r>
    </w:p>
    <w:p w14:paraId="2301CCFF" w14:textId="77777777" w:rsidR="00CA5C11" w:rsidRPr="00CA5C11" w:rsidRDefault="00CA5C11" w:rsidP="00CA5C11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CA5C11">
        <w:rPr>
          <w:rFonts w:ascii="Times New Roman" w:hAnsi="Times New Roman" w:cs="Times New Roman"/>
          <w:b/>
          <w:bCs/>
          <w:sz w:val="18"/>
          <w:szCs w:val="18"/>
        </w:rPr>
        <w:t>Hyperliquid</w:t>
      </w:r>
      <w:proofErr w:type="spellEnd"/>
      <w:r w:rsidRPr="00CA5C11">
        <w:rPr>
          <w:rFonts w:ascii="Times New Roman" w:hAnsi="Times New Roman" w:cs="Times New Roman"/>
          <w:b/>
          <w:bCs/>
          <w:sz w:val="18"/>
          <w:szCs w:val="18"/>
        </w:rPr>
        <w:t xml:space="preserve"> Historical Trader Data</w:t>
      </w:r>
    </w:p>
    <w:p w14:paraId="17221374" w14:textId="77777777" w:rsidR="00CA5C11" w:rsidRPr="00CA5C11" w:rsidRDefault="00CA5C11" w:rsidP="00CA5C11">
      <w:pPr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Trade-level execution data</w:t>
      </w:r>
    </w:p>
    <w:p w14:paraId="11510131" w14:textId="77777777" w:rsidR="00CA5C11" w:rsidRPr="00CA5C11" w:rsidRDefault="00CA5C11" w:rsidP="00CA5C11">
      <w:pPr>
        <w:numPr>
          <w:ilvl w:val="1"/>
          <w:numId w:val="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Includes account ID, size,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PnL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>, direction, timestamp, and related metrics</w:t>
      </w:r>
    </w:p>
    <w:p w14:paraId="6BA7632E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All analysis was conducted in Google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Colab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 xml:space="preserve"> using:</w:t>
      </w:r>
    </w:p>
    <w:p w14:paraId="0F94C643" w14:textId="77777777" w:rsidR="00CA5C11" w:rsidRPr="00CA5C11" w:rsidRDefault="00CA5C11" w:rsidP="00CA5C11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pandas</w:t>
      </w:r>
    </w:p>
    <w:p w14:paraId="5986B734" w14:textId="77777777" w:rsidR="00CA5C11" w:rsidRPr="00CA5C11" w:rsidRDefault="00CA5C11" w:rsidP="00CA5C11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CA5C11">
        <w:rPr>
          <w:rFonts w:ascii="Times New Roman" w:hAnsi="Times New Roman" w:cs="Times New Roman"/>
          <w:sz w:val="18"/>
          <w:szCs w:val="18"/>
        </w:rPr>
        <w:t>numpy</w:t>
      </w:r>
      <w:proofErr w:type="spellEnd"/>
    </w:p>
    <w:p w14:paraId="202F2EF1" w14:textId="77777777" w:rsidR="00CA5C11" w:rsidRPr="00CA5C11" w:rsidRDefault="00CA5C11" w:rsidP="00CA5C11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seaborn</w:t>
      </w:r>
    </w:p>
    <w:p w14:paraId="4D28A05A" w14:textId="77777777" w:rsidR="00CA5C11" w:rsidRPr="00CA5C11" w:rsidRDefault="00CA5C11" w:rsidP="00CA5C11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CA5C11">
        <w:rPr>
          <w:rFonts w:ascii="Times New Roman" w:hAnsi="Times New Roman" w:cs="Times New Roman"/>
          <w:sz w:val="18"/>
          <w:szCs w:val="18"/>
        </w:rPr>
        <w:t>scipy</w:t>
      </w:r>
      <w:proofErr w:type="spellEnd"/>
    </w:p>
    <w:p w14:paraId="2A9C7D81" w14:textId="77777777" w:rsidR="00CA5C11" w:rsidRPr="00CA5C11" w:rsidRDefault="00CA5C11" w:rsidP="00CA5C11">
      <w:pPr>
        <w:numPr>
          <w:ilvl w:val="0"/>
          <w:numId w:val="2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scikit-learn</w:t>
      </w:r>
    </w:p>
    <w:p w14:paraId="50878B6A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511D57C8">
          <v:rect id="_x0000_i1098" style="width:0;height:1.5pt" o:hralign="center" o:hrstd="t" o:hr="t" fillcolor="#a0a0a0" stroked="f"/>
        </w:pict>
      </w:r>
    </w:p>
    <w:p w14:paraId="7AFC3B45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3. Methodology</w:t>
      </w:r>
    </w:p>
    <w:p w14:paraId="397AB722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3.1 Data Preparation</w:t>
      </w:r>
    </w:p>
    <w:p w14:paraId="33D070F0" w14:textId="77777777" w:rsidR="00CA5C11" w:rsidRPr="00CA5C11" w:rsidRDefault="00CA5C11" w:rsidP="00CA5C11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Mounted and loaded datasets from Google Drive.</w:t>
      </w:r>
    </w:p>
    <w:p w14:paraId="5E897C01" w14:textId="77777777" w:rsidR="00CA5C11" w:rsidRPr="00CA5C11" w:rsidRDefault="00CA5C11" w:rsidP="00CA5C11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Validated structure (row counts, missing values, duplicates).</w:t>
      </w:r>
    </w:p>
    <w:p w14:paraId="5B6723E1" w14:textId="77777777" w:rsidR="00CA5C11" w:rsidRPr="00CA5C11" w:rsidRDefault="00CA5C11" w:rsidP="00CA5C11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Converted timestamps to proper datetime formats.</w:t>
      </w:r>
    </w:p>
    <w:p w14:paraId="1ED84FB3" w14:textId="77777777" w:rsidR="00CA5C11" w:rsidRPr="00CA5C11" w:rsidRDefault="00CA5C11" w:rsidP="00CA5C11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Aggregated trade-level data into daily trader-level metrics:</w:t>
      </w:r>
    </w:p>
    <w:p w14:paraId="6B763B26" w14:textId="77777777" w:rsidR="00CA5C11" w:rsidRPr="00CA5C11" w:rsidRDefault="00CA5C11" w:rsidP="00CA5C11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lastRenderedPageBreak/>
        <w:t xml:space="preserve">Daily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PnL</w:t>
      </w:r>
      <w:proofErr w:type="spellEnd"/>
    </w:p>
    <w:p w14:paraId="31C818B1" w14:textId="77777777" w:rsidR="00CA5C11" w:rsidRPr="00CA5C11" w:rsidRDefault="00CA5C11" w:rsidP="00CA5C11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Win rate</w:t>
      </w:r>
    </w:p>
    <w:p w14:paraId="646809C0" w14:textId="77777777" w:rsidR="00CA5C11" w:rsidRPr="00CA5C11" w:rsidRDefault="00CA5C11" w:rsidP="00CA5C11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Average trade size</w:t>
      </w:r>
    </w:p>
    <w:p w14:paraId="064B0796" w14:textId="77777777" w:rsidR="00CA5C11" w:rsidRPr="00CA5C11" w:rsidRDefault="00CA5C11" w:rsidP="00CA5C11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Trades per day</w:t>
      </w:r>
    </w:p>
    <w:p w14:paraId="076EAA23" w14:textId="77777777" w:rsidR="00CA5C11" w:rsidRPr="00CA5C11" w:rsidRDefault="00CA5C11" w:rsidP="00CA5C11">
      <w:pPr>
        <w:numPr>
          <w:ilvl w:val="1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Long/short ratio</w:t>
      </w:r>
    </w:p>
    <w:p w14:paraId="3B81AD5F" w14:textId="77777777" w:rsidR="00CA5C11" w:rsidRPr="00CA5C11" w:rsidRDefault="00CA5C11" w:rsidP="00CA5C11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Filtered datasets to overlapping date ranges to ensure proper alignment.</w:t>
      </w:r>
    </w:p>
    <w:p w14:paraId="78E4F93D" w14:textId="77777777" w:rsidR="00CA5C11" w:rsidRPr="00CA5C11" w:rsidRDefault="00CA5C11" w:rsidP="00CA5C11">
      <w:pPr>
        <w:numPr>
          <w:ilvl w:val="0"/>
          <w:numId w:val="3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Merged daily trader metrics with sentiment data.</w:t>
      </w:r>
    </w:p>
    <w:p w14:paraId="033A904D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6DBD6699">
          <v:rect id="_x0000_i1099" style="width:0;height:1.5pt" o:hralign="center" o:hrstd="t" o:hr="t" fillcolor="#a0a0a0" stroked="f"/>
        </w:pict>
      </w:r>
    </w:p>
    <w:p w14:paraId="78BE8641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3.2 Sentiment Regime Construction</w:t>
      </w:r>
    </w:p>
    <w:p w14:paraId="403152DE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Sentiment was normalized into two primary regimes:</w:t>
      </w:r>
    </w:p>
    <w:p w14:paraId="3F44E4BE" w14:textId="77777777" w:rsidR="00CA5C11" w:rsidRPr="00CA5C11" w:rsidRDefault="00CA5C11" w:rsidP="00CA5C11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Fear</w:t>
      </w:r>
    </w:p>
    <w:p w14:paraId="51081B8C" w14:textId="77777777" w:rsidR="00CA5C11" w:rsidRPr="00CA5C11" w:rsidRDefault="00CA5C11" w:rsidP="00CA5C11">
      <w:pPr>
        <w:numPr>
          <w:ilvl w:val="0"/>
          <w:numId w:val="4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Greed</w:t>
      </w:r>
      <w:r w:rsidRPr="00CA5C11">
        <w:rPr>
          <w:rFonts w:ascii="Times New Roman" w:hAnsi="Times New Roman" w:cs="Times New Roman"/>
          <w:sz w:val="18"/>
          <w:szCs w:val="18"/>
        </w:rPr>
        <w:t xml:space="preserve"> (including Extreme Greed)</w:t>
      </w:r>
    </w:p>
    <w:p w14:paraId="3F15B17C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Neutral observations were excluded due to limited sample size.</w:t>
      </w:r>
    </w:p>
    <w:p w14:paraId="3E46C3E7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1615FEB6">
          <v:rect id="_x0000_i1100" style="width:0;height:1.5pt" o:hralign="center" o:hrstd="t" o:hr="t" fillcolor="#a0a0a0" stroked="f"/>
        </w:pict>
      </w:r>
    </w:p>
    <w:p w14:paraId="3BD6574D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3.3 Statistical Testing</w:t>
      </w:r>
    </w:p>
    <w:p w14:paraId="28DFEB68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We conducted:</w:t>
      </w:r>
    </w:p>
    <w:p w14:paraId="3156C4BB" w14:textId="77777777" w:rsidR="00CA5C11" w:rsidRPr="00CA5C11" w:rsidRDefault="00CA5C11" w:rsidP="00CA5C11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Mean and median comparisons of daily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PnL</w:t>
      </w:r>
      <w:proofErr w:type="spellEnd"/>
    </w:p>
    <w:p w14:paraId="68C60C81" w14:textId="77777777" w:rsidR="00CA5C11" w:rsidRPr="00CA5C11" w:rsidRDefault="00CA5C11" w:rsidP="00CA5C11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Welch’s t-tests to evaluate statistical significance</w:t>
      </w:r>
    </w:p>
    <w:p w14:paraId="10DA9126" w14:textId="77777777" w:rsidR="00CA5C11" w:rsidRPr="00CA5C11" w:rsidRDefault="00CA5C11" w:rsidP="00CA5C11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Behavioral comparisons across regimes</w:t>
      </w:r>
    </w:p>
    <w:p w14:paraId="2BFF21F1" w14:textId="77777777" w:rsidR="00CA5C11" w:rsidRPr="00CA5C11" w:rsidRDefault="00CA5C11" w:rsidP="00CA5C11">
      <w:pPr>
        <w:numPr>
          <w:ilvl w:val="0"/>
          <w:numId w:val="5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Variance and dispersion analysis</w:t>
      </w:r>
    </w:p>
    <w:p w14:paraId="75C5EACC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64D93ACC">
          <v:rect id="_x0000_i1101" style="width:0;height:1.5pt" o:hralign="center" o:hrstd="t" o:hr="t" fillcolor="#a0a0a0" stroked="f"/>
        </w:pict>
      </w:r>
    </w:p>
    <w:p w14:paraId="44CD828E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3.4 Trader Segmentation &amp; Clustering</w:t>
      </w:r>
    </w:p>
    <w:p w14:paraId="1B165189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To understand structural drivers of profitability, traders were segmented based on:</w:t>
      </w:r>
    </w:p>
    <w:p w14:paraId="4242C757" w14:textId="77777777" w:rsidR="00CA5C11" w:rsidRPr="00CA5C11" w:rsidRDefault="00CA5C11" w:rsidP="00CA5C11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Total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PnL</w:t>
      </w:r>
      <w:proofErr w:type="spellEnd"/>
    </w:p>
    <w:p w14:paraId="16E634E4" w14:textId="77777777" w:rsidR="00CA5C11" w:rsidRPr="00CA5C11" w:rsidRDefault="00CA5C11" w:rsidP="00CA5C11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Win rate</w:t>
      </w:r>
    </w:p>
    <w:p w14:paraId="1887D1F7" w14:textId="77777777" w:rsidR="00CA5C11" w:rsidRPr="00CA5C11" w:rsidRDefault="00CA5C11" w:rsidP="00CA5C11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Trade frequency</w:t>
      </w:r>
    </w:p>
    <w:p w14:paraId="2D8EC0FB" w14:textId="77777777" w:rsidR="00CA5C11" w:rsidRPr="00CA5C11" w:rsidRDefault="00CA5C11" w:rsidP="00CA5C11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Average trade size</w:t>
      </w:r>
    </w:p>
    <w:p w14:paraId="588E2543" w14:textId="77777777" w:rsidR="00CA5C11" w:rsidRPr="00CA5C11" w:rsidRDefault="00CA5C11" w:rsidP="00CA5C11">
      <w:pPr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CA5C11">
        <w:rPr>
          <w:rFonts w:ascii="Times New Roman" w:hAnsi="Times New Roman" w:cs="Times New Roman"/>
          <w:sz w:val="18"/>
          <w:szCs w:val="18"/>
        </w:rPr>
        <w:t>PnL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 xml:space="preserve"> volatility (standard deviation)</w:t>
      </w:r>
    </w:p>
    <w:p w14:paraId="60387180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We implemented:</w:t>
      </w:r>
    </w:p>
    <w:p w14:paraId="7067267F" w14:textId="77777777" w:rsidR="00CA5C11" w:rsidRPr="00CA5C11" w:rsidRDefault="00CA5C11" w:rsidP="00CA5C11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Rule-based segmentation (Consistent vs Inconsistent traders)</w:t>
      </w:r>
    </w:p>
    <w:p w14:paraId="403CBEA9" w14:textId="77777777" w:rsidR="00CA5C11" w:rsidRPr="00CA5C11" w:rsidRDefault="00CA5C11" w:rsidP="00CA5C11">
      <w:pPr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proofErr w:type="spellStart"/>
      <w:r w:rsidRPr="00CA5C11">
        <w:rPr>
          <w:rFonts w:ascii="Times New Roman" w:hAnsi="Times New Roman" w:cs="Times New Roman"/>
          <w:sz w:val="18"/>
          <w:szCs w:val="18"/>
        </w:rPr>
        <w:t>KMeans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 xml:space="preserve"> clustering to identify behavioral archetypes</w:t>
      </w:r>
    </w:p>
    <w:p w14:paraId="756B4237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lastRenderedPageBreak/>
        <w:pict w14:anchorId="7CB1842A">
          <v:rect id="_x0000_i1102" style="width:0;height:1.5pt" o:hralign="center" o:hrstd="t" o:hr="t" fillcolor="#a0a0a0" stroked="f"/>
        </w:pict>
      </w:r>
    </w:p>
    <w:p w14:paraId="2ED83C9B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4. Key Findings</w:t>
      </w:r>
    </w:p>
    <w:p w14:paraId="3899CD44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4.1 Regime-Based Performance</w:t>
      </w:r>
    </w:p>
    <w:p w14:paraId="7F648410" w14:textId="77777777" w:rsidR="00CA5C11" w:rsidRPr="00CA5C11" w:rsidRDefault="00CA5C11" w:rsidP="00CA5C11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Mean daily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PnL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 xml:space="preserve"> was higher during Fear regimes.</w:t>
      </w:r>
    </w:p>
    <w:p w14:paraId="4E2B5C43" w14:textId="77777777" w:rsidR="00CA5C11" w:rsidRPr="00CA5C11" w:rsidRDefault="00CA5C11" w:rsidP="00CA5C11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However, the difference was not statistically significant (p = 0.145).</w:t>
      </w:r>
    </w:p>
    <w:p w14:paraId="707F5951" w14:textId="77777777" w:rsidR="00CA5C11" w:rsidRPr="00CA5C11" w:rsidRDefault="00CA5C11" w:rsidP="00CA5C11">
      <w:pPr>
        <w:numPr>
          <w:ilvl w:val="0"/>
          <w:numId w:val="8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Win rates did not differ significantly across regimes (p = 0.367).</w:t>
      </w:r>
    </w:p>
    <w:p w14:paraId="6092769A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Interpretation:</w:t>
      </w:r>
      <w:r w:rsidRPr="00CA5C11">
        <w:rPr>
          <w:rFonts w:ascii="Times New Roman" w:hAnsi="Times New Roman" w:cs="Times New Roman"/>
          <w:sz w:val="18"/>
          <w:szCs w:val="18"/>
        </w:rPr>
        <w:br/>
        <w:t>Sentiment does not materially change directional accuracy.</w:t>
      </w:r>
    </w:p>
    <w:p w14:paraId="6DDCEDA6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41283A37">
          <v:rect id="_x0000_i1103" style="width:0;height:1.5pt" o:hralign="center" o:hrstd="t" o:hr="t" fillcolor="#a0a0a0" stroked="f"/>
        </w:pict>
      </w:r>
    </w:p>
    <w:p w14:paraId="4F95F53C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4.2 Volatility and Dispersion Effects</w:t>
      </w:r>
    </w:p>
    <w:p w14:paraId="46EDE96B" w14:textId="77777777" w:rsidR="00CA5C11" w:rsidRPr="00CA5C11" w:rsidRDefault="00CA5C11" w:rsidP="00CA5C11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Fear regimes exhibited significantly higher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PnL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 xml:space="preserve"> dispersion.</w:t>
      </w:r>
    </w:p>
    <w:p w14:paraId="302099EB" w14:textId="77777777" w:rsidR="00CA5C11" w:rsidRPr="00CA5C11" w:rsidRDefault="00CA5C11" w:rsidP="00CA5C11">
      <w:pPr>
        <w:numPr>
          <w:ilvl w:val="0"/>
          <w:numId w:val="9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Larger positive and negative tail outcomes occurred during Fear periods.</w:t>
      </w:r>
    </w:p>
    <w:p w14:paraId="6DBDA35C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Conclusion:</w:t>
      </w:r>
      <w:r w:rsidRPr="00CA5C11">
        <w:rPr>
          <w:rFonts w:ascii="Times New Roman" w:hAnsi="Times New Roman" w:cs="Times New Roman"/>
          <w:sz w:val="18"/>
          <w:szCs w:val="18"/>
        </w:rPr>
        <w:br/>
        <w:t>Performance differences are driven by volatility expansion rather than improved win rates.</w:t>
      </w:r>
    </w:p>
    <w:p w14:paraId="1F30FC35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3F4E2CAB">
          <v:rect id="_x0000_i1104" style="width:0;height:1.5pt" o:hralign="center" o:hrstd="t" o:hr="t" fillcolor="#a0a0a0" stroked="f"/>
        </w:pict>
      </w:r>
    </w:p>
    <w:p w14:paraId="3548336E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4.3 Trader-Level Profitability Structure</w:t>
      </w:r>
    </w:p>
    <w:p w14:paraId="2DE9C2F3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Segment analysis revealed: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1535"/>
        <w:gridCol w:w="1274"/>
        <w:gridCol w:w="1261"/>
      </w:tblGrid>
      <w:tr w:rsidR="00CA5C11" w:rsidRPr="00CA5C11" w14:paraId="2B89C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8C2C2" w14:textId="77777777" w:rsidR="00CA5C11" w:rsidRPr="00CA5C11" w:rsidRDefault="00CA5C11" w:rsidP="00CA5C1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B848E8E" w14:textId="77777777" w:rsidR="00CA5C11" w:rsidRPr="00CA5C11" w:rsidRDefault="00CA5C11" w:rsidP="00CA5C1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Mean Total </w:t>
            </w:r>
            <w:proofErr w:type="spellStart"/>
            <w:r w:rsidRPr="00CA5C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PnL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D9DA7" w14:textId="77777777" w:rsidR="00CA5C11" w:rsidRPr="00CA5C11" w:rsidRDefault="00CA5C11" w:rsidP="00CA5C1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Mean Win Rate</w:t>
            </w:r>
          </w:p>
        </w:tc>
        <w:tc>
          <w:tcPr>
            <w:tcW w:w="0" w:type="auto"/>
            <w:vAlign w:val="center"/>
            <w:hideMark/>
          </w:tcPr>
          <w:p w14:paraId="7D75CEC1" w14:textId="77777777" w:rsidR="00CA5C11" w:rsidRPr="00CA5C11" w:rsidRDefault="00CA5C11" w:rsidP="00CA5C1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Mean Volatility</w:t>
            </w:r>
          </w:p>
        </w:tc>
      </w:tr>
      <w:tr w:rsidR="00CA5C11" w:rsidRPr="00CA5C11" w14:paraId="054B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330D" w14:textId="77777777" w:rsidR="00CA5C11" w:rsidRPr="00CA5C11" w:rsidRDefault="00CA5C11" w:rsidP="00CA5C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sz w:val="18"/>
                <w:szCs w:val="18"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5CA5629F" w14:textId="77777777" w:rsidR="00CA5C11" w:rsidRPr="00CA5C11" w:rsidRDefault="00CA5C11" w:rsidP="00CA5C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sz w:val="18"/>
                <w:szCs w:val="1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FC552FD" w14:textId="77777777" w:rsidR="00CA5C11" w:rsidRPr="00CA5C11" w:rsidRDefault="00CA5C11" w:rsidP="00CA5C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sz w:val="18"/>
                <w:szCs w:val="1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600D9CF5" w14:textId="77777777" w:rsidR="00CA5C11" w:rsidRPr="00CA5C11" w:rsidRDefault="00CA5C11" w:rsidP="00CA5C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sz w:val="18"/>
                <w:szCs w:val="18"/>
              </w:rPr>
              <w:t>Low</w:t>
            </w:r>
          </w:p>
        </w:tc>
      </w:tr>
      <w:tr w:rsidR="00CA5C11" w:rsidRPr="00CA5C11" w14:paraId="4E863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906E" w14:textId="77777777" w:rsidR="00CA5C11" w:rsidRPr="00CA5C11" w:rsidRDefault="00CA5C11" w:rsidP="00CA5C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sz w:val="18"/>
                <w:szCs w:val="18"/>
              </w:rPr>
              <w:t>Inconsistent</w:t>
            </w:r>
          </w:p>
        </w:tc>
        <w:tc>
          <w:tcPr>
            <w:tcW w:w="0" w:type="auto"/>
            <w:vAlign w:val="center"/>
            <w:hideMark/>
          </w:tcPr>
          <w:p w14:paraId="3FF29983" w14:textId="77777777" w:rsidR="00CA5C11" w:rsidRPr="00CA5C11" w:rsidRDefault="00CA5C11" w:rsidP="00CA5C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sz w:val="18"/>
                <w:szCs w:val="18"/>
              </w:rPr>
              <w:t>Significantly Higher</w:t>
            </w:r>
          </w:p>
        </w:tc>
        <w:tc>
          <w:tcPr>
            <w:tcW w:w="0" w:type="auto"/>
            <w:vAlign w:val="center"/>
            <w:hideMark/>
          </w:tcPr>
          <w:p w14:paraId="58F8105A" w14:textId="77777777" w:rsidR="00CA5C11" w:rsidRPr="00CA5C11" w:rsidRDefault="00CA5C11" w:rsidP="00CA5C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sz w:val="18"/>
                <w:szCs w:val="1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3F983DC3" w14:textId="77777777" w:rsidR="00CA5C11" w:rsidRPr="00CA5C11" w:rsidRDefault="00CA5C11" w:rsidP="00CA5C11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A5C11">
              <w:rPr>
                <w:rFonts w:ascii="Times New Roman" w:hAnsi="Times New Roman" w:cs="Times New Roman"/>
                <w:sz w:val="18"/>
                <w:szCs w:val="18"/>
              </w:rPr>
              <w:t>Very High</w:t>
            </w:r>
          </w:p>
        </w:tc>
      </w:tr>
    </w:tbl>
    <w:p w14:paraId="0F392D8D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Key Insight:</w:t>
      </w:r>
    </w:p>
    <w:p w14:paraId="1F952323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High-volatility traders with lower win rates generated substantially larger total returns.</w:t>
      </w:r>
    </w:p>
    <w:p w14:paraId="3771AFEF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Profitability is driven by fat-tailed payoff distributions, not consistency.</w:t>
      </w:r>
    </w:p>
    <w:p w14:paraId="1F7742D6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35146A0C">
          <v:rect id="_x0000_i1105" style="width:0;height:1.5pt" o:hralign="center" o:hrstd="t" o:hr="t" fillcolor="#a0a0a0" stroked="f"/>
        </w:pict>
      </w:r>
    </w:p>
    <w:p w14:paraId="3D4BCB82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5. Strategic Implications</w:t>
      </w:r>
    </w:p>
    <w:p w14:paraId="1FCB03CF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5.1 Volatility Expansion Strategy</w:t>
      </w:r>
    </w:p>
    <w:p w14:paraId="4A5DDDE9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Rule:</w:t>
      </w:r>
      <w:r w:rsidRPr="00CA5C11">
        <w:rPr>
          <w:rFonts w:ascii="Times New Roman" w:hAnsi="Times New Roman" w:cs="Times New Roman"/>
          <w:sz w:val="18"/>
          <w:szCs w:val="18"/>
        </w:rPr>
        <w:br/>
        <w:t>Increase risk exposure during Fear regimes to exploit convex payoff structures.</w:t>
      </w:r>
    </w:p>
    <w:p w14:paraId="0E1718F3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Rationale:</w:t>
      </w:r>
      <w:r w:rsidRPr="00CA5C11">
        <w:rPr>
          <w:rFonts w:ascii="Times New Roman" w:hAnsi="Times New Roman" w:cs="Times New Roman"/>
          <w:sz w:val="18"/>
          <w:szCs w:val="18"/>
        </w:rPr>
        <w:br/>
        <w:t>Fear regimes show greater dispersion and larger tail events, favoring traders positioned for volatility expansion.</w:t>
      </w:r>
    </w:p>
    <w:p w14:paraId="2724EBEF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Risk Consideration:</w:t>
      </w:r>
      <w:r w:rsidRPr="00CA5C11">
        <w:rPr>
          <w:rFonts w:ascii="Times New Roman" w:hAnsi="Times New Roman" w:cs="Times New Roman"/>
          <w:sz w:val="18"/>
          <w:szCs w:val="18"/>
        </w:rPr>
        <w:br/>
        <w:t>Higher drawdown risk requires strict capital management and stop-loss discipline.</w:t>
      </w:r>
    </w:p>
    <w:p w14:paraId="4E7BF881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6B352499">
          <v:rect id="_x0000_i1106" style="width:0;height:1.5pt" o:hralign="center" o:hrstd="t" o:hr="t" fillcolor="#a0a0a0" stroked="f"/>
        </w:pict>
      </w:r>
    </w:p>
    <w:p w14:paraId="04F94E0D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lastRenderedPageBreak/>
        <w:t>5.2 Regime-Conditioned Capital Allocation</w:t>
      </w:r>
    </w:p>
    <w:p w14:paraId="6B33EC63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Rule:</w:t>
      </w:r>
      <w:r w:rsidRPr="00CA5C11">
        <w:rPr>
          <w:rFonts w:ascii="Times New Roman" w:hAnsi="Times New Roman" w:cs="Times New Roman"/>
          <w:sz w:val="18"/>
          <w:szCs w:val="18"/>
        </w:rPr>
        <w:br/>
        <w:t>Dynamically allocate capital based on sentiment regime:</w:t>
      </w:r>
    </w:p>
    <w:p w14:paraId="42007D7D" w14:textId="77777777" w:rsidR="00CA5C11" w:rsidRPr="00CA5C11" w:rsidRDefault="00CA5C11" w:rsidP="00CA5C11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Core allocation to consistent traders</w:t>
      </w:r>
    </w:p>
    <w:p w14:paraId="27DAF110" w14:textId="77777777" w:rsidR="00CA5C11" w:rsidRPr="00CA5C11" w:rsidRDefault="00CA5C11" w:rsidP="00CA5C11">
      <w:pPr>
        <w:numPr>
          <w:ilvl w:val="0"/>
          <w:numId w:val="10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Tactical allocation to high-volatility traders during Fear periods</w:t>
      </w:r>
    </w:p>
    <w:p w14:paraId="155EC5B0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Rationale:</w:t>
      </w:r>
      <w:r w:rsidRPr="00CA5C11">
        <w:rPr>
          <w:rFonts w:ascii="Times New Roman" w:hAnsi="Times New Roman" w:cs="Times New Roman"/>
          <w:sz w:val="18"/>
          <w:szCs w:val="18"/>
        </w:rPr>
        <w:br/>
        <w:t>Consistent traders provide stability, while convex traders capture regime-driven tail opportunities.</w:t>
      </w:r>
    </w:p>
    <w:p w14:paraId="6FD2A05D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Risk Consideration:</w:t>
      </w:r>
      <w:r w:rsidRPr="00CA5C11">
        <w:rPr>
          <w:rFonts w:ascii="Times New Roman" w:hAnsi="Times New Roman" w:cs="Times New Roman"/>
          <w:sz w:val="18"/>
          <w:szCs w:val="18"/>
        </w:rPr>
        <w:br/>
        <w:t>Requires ongoing sentiment monitoring and risk budgeting.</w:t>
      </w:r>
    </w:p>
    <w:p w14:paraId="7E5F0F29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70CA0467">
          <v:rect id="_x0000_i1107" style="width:0;height:1.5pt" o:hralign="center" o:hrstd="t" o:hr="t" fillcolor="#a0a0a0" stroked="f"/>
        </w:pict>
      </w:r>
    </w:p>
    <w:p w14:paraId="1FD59002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6. Conclusion</w:t>
      </w:r>
    </w:p>
    <w:p w14:paraId="5F0256CB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This analysis demonstrates that:</w:t>
      </w:r>
    </w:p>
    <w:p w14:paraId="77C8A12E" w14:textId="77777777" w:rsidR="00CA5C11" w:rsidRPr="00CA5C11" w:rsidRDefault="00CA5C11" w:rsidP="00CA5C11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Market sentiment does not significantly affect win rate.</w:t>
      </w:r>
    </w:p>
    <w:p w14:paraId="66DC5014" w14:textId="77777777" w:rsidR="00CA5C11" w:rsidRPr="00CA5C11" w:rsidRDefault="00CA5C11" w:rsidP="00CA5C11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Profitability on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Hyperliquid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 xml:space="preserve"> is driven by volatility exposure and convex payoff structures.</w:t>
      </w:r>
    </w:p>
    <w:p w14:paraId="2CF8FE89" w14:textId="77777777" w:rsidR="00CA5C11" w:rsidRPr="00CA5C11" w:rsidRDefault="00CA5C11" w:rsidP="00CA5C11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Fear regimes amplify dispersion and tail outcomes.</w:t>
      </w:r>
    </w:p>
    <w:p w14:paraId="67499D7E" w14:textId="77777777" w:rsidR="00CA5C11" w:rsidRPr="00CA5C11" w:rsidRDefault="00CA5C11" w:rsidP="00CA5C11">
      <w:pPr>
        <w:numPr>
          <w:ilvl w:val="0"/>
          <w:numId w:val="11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High-volatility traders disproportionately contribute to total platform profits.</w:t>
      </w:r>
    </w:p>
    <w:p w14:paraId="0E2BCECE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A regime-aware and volatility-conditioned allocation framework may improve risk-adjusted performance.</w:t>
      </w:r>
    </w:p>
    <w:p w14:paraId="41A97B1E" w14:textId="77777777" w:rsidR="00CA5C11" w:rsidRPr="00CA5C11" w:rsidRDefault="00CA5C11" w:rsidP="00CA5C11">
      <w:p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pict w14:anchorId="1117E951">
          <v:rect id="_x0000_i1108" style="width:0;height:1.5pt" o:hralign="center" o:hrstd="t" o:hr="t" fillcolor="#a0a0a0" stroked="f"/>
        </w:pict>
      </w:r>
    </w:p>
    <w:p w14:paraId="1DE51647" w14:textId="77777777" w:rsidR="00CA5C11" w:rsidRPr="00CA5C11" w:rsidRDefault="00CA5C11" w:rsidP="00CA5C11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CA5C11">
        <w:rPr>
          <w:rFonts w:ascii="Times New Roman" w:hAnsi="Times New Roman" w:cs="Times New Roman"/>
          <w:b/>
          <w:bCs/>
          <w:sz w:val="18"/>
          <w:szCs w:val="18"/>
        </w:rPr>
        <w:t>7. Limitations</w:t>
      </w:r>
    </w:p>
    <w:p w14:paraId="7894563D" w14:textId="77777777" w:rsidR="00CA5C11" w:rsidRPr="00CA5C11" w:rsidRDefault="00CA5C11" w:rsidP="00CA5C11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Limited overlapping time window.</w:t>
      </w:r>
    </w:p>
    <w:p w14:paraId="6DBD680E" w14:textId="77777777" w:rsidR="00CA5C11" w:rsidRPr="00CA5C11" w:rsidRDefault="00CA5C11" w:rsidP="00CA5C11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 xml:space="preserve">High variance in </w:t>
      </w:r>
      <w:proofErr w:type="spellStart"/>
      <w:r w:rsidRPr="00CA5C11">
        <w:rPr>
          <w:rFonts w:ascii="Times New Roman" w:hAnsi="Times New Roman" w:cs="Times New Roman"/>
          <w:sz w:val="18"/>
          <w:szCs w:val="18"/>
        </w:rPr>
        <w:t>PnL</w:t>
      </w:r>
      <w:proofErr w:type="spellEnd"/>
      <w:r w:rsidRPr="00CA5C11">
        <w:rPr>
          <w:rFonts w:ascii="Times New Roman" w:hAnsi="Times New Roman" w:cs="Times New Roman"/>
          <w:sz w:val="18"/>
          <w:szCs w:val="18"/>
        </w:rPr>
        <w:t xml:space="preserve"> data.</w:t>
      </w:r>
    </w:p>
    <w:p w14:paraId="164DD1B5" w14:textId="77777777" w:rsidR="00CA5C11" w:rsidRPr="00CA5C11" w:rsidRDefault="00CA5C11" w:rsidP="00CA5C11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Predictive modeling limited by small sample size.</w:t>
      </w:r>
    </w:p>
    <w:p w14:paraId="78E70686" w14:textId="34692998" w:rsidR="00CA5C11" w:rsidRPr="00CA5C11" w:rsidRDefault="00CA5C11" w:rsidP="00CA5C11">
      <w:pPr>
        <w:numPr>
          <w:ilvl w:val="0"/>
          <w:numId w:val="12"/>
        </w:numPr>
        <w:rPr>
          <w:rFonts w:ascii="Times New Roman" w:hAnsi="Times New Roman" w:cs="Times New Roman"/>
          <w:sz w:val="18"/>
          <w:szCs w:val="18"/>
        </w:rPr>
      </w:pPr>
      <w:r w:rsidRPr="00CA5C11">
        <w:rPr>
          <w:rFonts w:ascii="Times New Roman" w:hAnsi="Times New Roman" w:cs="Times New Roman"/>
          <w:sz w:val="18"/>
          <w:szCs w:val="18"/>
        </w:rPr>
        <w:t>Analysis does not incorporate leverage-specific modeling</w:t>
      </w:r>
    </w:p>
    <w:sectPr w:rsidR="00CA5C11" w:rsidRPr="00CA5C11" w:rsidSect="00CA5C11">
      <w:pgSz w:w="12240" w:h="15840"/>
      <w:pgMar w:top="1440" w:right="99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61C8"/>
    <w:multiLevelType w:val="multilevel"/>
    <w:tmpl w:val="E27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90A7B"/>
    <w:multiLevelType w:val="multilevel"/>
    <w:tmpl w:val="694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E06"/>
    <w:multiLevelType w:val="multilevel"/>
    <w:tmpl w:val="9E0E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C3D2B"/>
    <w:multiLevelType w:val="multilevel"/>
    <w:tmpl w:val="A4F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96168"/>
    <w:multiLevelType w:val="multilevel"/>
    <w:tmpl w:val="233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43155"/>
    <w:multiLevelType w:val="multilevel"/>
    <w:tmpl w:val="991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41E22"/>
    <w:multiLevelType w:val="multilevel"/>
    <w:tmpl w:val="845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523D2"/>
    <w:multiLevelType w:val="multilevel"/>
    <w:tmpl w:val="BCA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F3310"/>
    <w:multiLevelType w:val="multilevel"/>
    <w:tmpl w:val="6D745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631FA9"/>
    <w:multiLevelType w:val="multilevel"/>
    <w:tmpl w:val="8924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A7BF6"/>
    <w:multiLevelType w:val="multilevel"/>
    <w:tmpl w:val="C07E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337BD"/>
    <w:multiLevelType w:val="multilevel"/>
    <w:tmpl w:val="1B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97693">
    <w:abstractNumId w:val="8"/>
  </w:num>
  <w:num w:numId="2" w16cid:durableId="1409156567">
    <w:abstractNumId w:val="0"/>
  </w:num>
  <w:num w:numId="3" w16cid:durableId="1651515394">
    <w:abstractNumId w:val="3"/>
  </w:num>
  <w:num w:numId="4" w16cid:durableId="1937907272">
    <w:abstractNumId w:val="1"/>
  </w:num>
  <w:num w:numId="5" w16cid:durableId="340160635">
    <w:abstractNumId w:val="11"/>
  </w:num>
  <w:num w:numId="6" w16cid:durableId="1534031057">
    <w:abstractNumId w:val="5"/>
  </w:num>
  <w:num w:numId="7" w16cid:durableId="1223518804">
    <w:abstractNumId w:val="4"/>
  </w:num>
  <w:num w:numId="8" w16cid:durableId="1989624128">
    <w:abstractNumId w:val="6"/>
  </w:num>
  <w:num w:numId="9" w16cid:durableId="241260283">
    <w:abstractNumId w:val="7"/>
  </w:num>
  <w:num w:numId="10" w16cid:durableId="1064258365">
    <w:abstractNumId w:val="9"/>
  </w:num>
  <w:num w:numId="11" w16cid:durableId="995382780">
    <w:abstractNumId w:val="2"/>
  </w:num>
  <w:num w:numId="12" w16cid:durableId="8469459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C11"/>
    <w:rsid w:val="007713BB"/>
    <w:rsid w:val="00CA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F6E09"/>
  <w15:chartTrackingRefBased/>
  <w15:docId w15:val="{3C38CE2A-F784-47F2-9861-0B488CF6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C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Vora</dc:creator>
  <cp:keywords/>
  <dc:description/>
  <cp:lastModifiedBy>Krishna Vora</cp:lastModifiedBy>
  <cp:revision>1</cp:revision>
  <dcterms:created xsi:type="dcterms:W3CDTF">2026-02-19T17:27:00Z</dcterms:created>
  <dcterms:modified xsi:type="dcterms:W3CDTF">2026-02-19T17:30:00Z</dcterms:modified>
</cp:coreProperties>
</file>