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ptos Display" w:hAnsi="Aptos Display"/>
          <w:b/>
          <w:color w:val="0F766E"/>
          <w:sz w:val="34"/>
        </w:rPr>
        <w:t>FIXED DEPOSIT</w:t>
      </w:r>
    </w:p>
    <w:p>
      <w:pPr>
        <w:jc w:val="left"/>
      </w:pPr>
      <w:r>
        <w:rPr>
          <w:rFonts w:ascii="Aptos Display" w:hAnsi="Aptos Display"/>
          <w:b/>
          <w:color w:val="132238"/>
          <w:sz w:val="76"/>
        </w:rPr>
        <w:t>Microservice Platform</w:t>
      </w:r>
    </w:p>
    <w:p>
      <w:r>
        <w:rPr>
          <w:color w:val="5B6770"/>
          <w:sz w:val="32"/>
        </w:rPr>
        <w:t>Architecture, implementation, integration and demonstration report</w:t>
      </w:r>
    </w:p>
    <w:p>
      <w:r>
        <w:br/>
      </w:r>
    </w:p>
    <w:tbl>
      <w:tblPr>
        <w:tblStyle w:val="TableGrid"/>
        <w:tblW w:type="auto" w:w="0"/>
        <w:jc w:val="center"/>
        <w:tblLook w:firstColumn="1" w:firstRow="1" w:lastColumn="0" w:lastRow="0" w:noHBand="0" w:noVBand="1" w:val="04A0"/>
      </w:tblPr>
      <w:tblGrid>
        <w:gridCol w:w="4997"/>
        <w:gridCol w:w="4997"/>
      </w:tblGrid>
      <w:tr>
        <w:tc>
          <w:tcPr>
            <w:tcW w:type="dxa" w:w="2592"/>
            <w:vAlign w:val="center"/>
            <w:shd w:fill="0F766E"/>
          </w:tcPr>
          <w:p>
            <w:r/>
            <w:r>
              <w:rPr>
                <w:rFonts w:ascii="Aptos" w:hAnsi="Aptos"/>
                <w:b/>
                <w:color w:val="FFFFFF"/>
                <w:sz w:val="18"/>
              </w:rPr>
              <w:t>Project</w:t>
            </w:r>
          </w:p>
        </w:tc>
        <w:tc>
          <w:tcPr>
            <w:tcW w:type="dxa" w:w="6912"/>
            <w:vAlign w:val="center"/>
            <w:shd w:fill="0F766E"/>
          </w:tcPr>
          <w:p>
            <w:r/>
            <w:r>
              <w:rPr>
                <w:rFonts w:ascii="Aptos" w:hAnsi="Aptos"/>
                <w:b/>
                <w:color w:val="FFFFFF"/>
                <w:sz w:val="18"/>
              </w:rPr>
              <w:t>Submission</w:t>
            </w:r>
          </w:p>
        </w:tc>
      </w:tr>
      <w:tr>
        <w:tc>
          <w:tcPr>
            <w:tcW w:type="dxa" w:w="2592"/>
            <w:vAlign w:val="center"/>
          </w:tcPr>
          <w:p>
            <w:r/>
            <w:r>
              <w:rPr>
                <w:rFonts w:ascii="Aptos" w:hAnsi="Aptos"/>
                <w:b w:val="0"/>
                <w:color w:val="132238"/>
                <w:sz w:val="17"/>
              </w:rPr>
              <w:t>Module</w:t>
            </w:r>
          </w:p>
        </w:tc>
        <w:tc>
          <w:tcPr>
            <w:tcW w:type="dxa" w:w="6912"/>
            <w:vAlign w:val="center"/>
          </w:tcPr>
          <w:p>
            <w:r/>
            <w:r>
              <w:rPr>
                <w:rFonts w:ascii="Aptos" w:hAnsi="Aptos"/>
                <w:b w:val="0"/>
                <w:color w:val="132238"/>
                <w:sz w:val="17"/>
              </w:rPr>
              <w:t>Fixed Deposit (FD) — Group 9</w:t>
            </w:r>
          </w:p>
        </w:tc>
      </w:tr>
      <w:tr>
        <w:tc>
          <w:tcPr>
            <w:tcW w:type="dxa" w:w="2592"/>
            <w:vAlign w:val="center"/>
            <w:shd w:fill="E8F3F1"/>
          </w:tcPr>
          <w:p>
            <w:r/>
            <w:r>
              <w:rPr>
                <w:rFonts w:ascii="Aptos" w:hAnsi="Aptos"/>
                <w:b w:val="0"/>
                <w:color w:val="132238"/>
                <w:sz w:val="17"/>
              </w:rPr>
              <w:t>Group lead</w:t>
            </w:r>
          </w:p>
        </w:tc>
        <w:tc>
          <w:tcPr>
            <w:tcW w:type="dxa" w:w="6912"/>
            <w:vAlign w:val="center"/>
            <w:shd w:fill="E8F3F1"/>
          </w:tcPr>
          <w:p>
            <w:r/>
            <w:r>
              <w:rPr>
                <w:rFonts w:ascii="Aptos" w:hAnsi="Aptos"/>
                <w:b w:val="0"/>
                <w:color w:val="132238"/>
                <w:sz w:val="17"/>
              </w:rPr>
              <w:t>Krishna Gupta</w:t>
            </w:r>
          </w:p>
        </w:tc>
      </w:tr>
      <w:tr>
        <w:tc>
          <w:tcPr>
            <w:tcW w:type="dxa" w:w="2592"/>
            <w:vAlign w:val="center"/>
          </w:tcPr>
          <w:p>
            <w:r/>
            <w:r>
              <w:rPr>
                <w:rFonts w:ascii="Aptos" w:hAnsi="Aptos"/>
                <w:b w:val="0"/>
                <w:color w:val="132238"/>
                <w:sz w:val="17"/>
              </w:rPr>
              <w:t>Course context</w:t>
            </w:r>
          </w:p>
        </w:tc>
        <w:tc>
          <w:tcPr>
            <w:tcW w:type="dxa" w:w="6912"/>
            <w:vAlign w:val="center"/>
          </w:tcPr>
          <w:p>
            <w:r/>
            <w:r>
              <w:rPr>
                <w:rFonts w:ascii="Aptos" w:hAnsi="Aptos"/>
                <w:b w:val="0"/>
                <w:color w:val="132238"/>
                <w:sz w:val="17"/>
              </w:rPr>
              <w:t>Banking Technology Laboratory</w:t>
            </w:r>
          </w:p>
        </w:tc>
      </w:tr>
      <w:tr>
        <w:tc>
          <w:tcPr>
            <w:tcW w:type="dxa" w:w="2592"/>
            <w:vAlign w:val="center"/>
            <w:shd w:fill="E8F3F1"/>
          </w:tcPr>
          <w:p>
            <w:r/>
            <w:r>
              <w:rPr>
                <w:rFonts w:ascii="Aptos" w:hAnsi="Aptos"/>
                <w:b w:val="0"/>
                <w:color w:val="132238"/>
                <w:sz w:val="17"/>
              </w:rPr>
              <w:t>Repository</w:t>
            </w:r>
          </w:p>
        </w:tc>
        <w:tc>
          <w:tcPr>
            <w:tcW w:type="dxa" w:w="6912"/>
            <w:vAlign w:val="center"/>
            <w:shd w:fill="E8F3F1"/>
          </w:tcPr>
          <w:p>
            <w:r/>
            <w:r>
              <w:rPr>
                <w:rFonts w:ascii="Aptos" w:hAnsi="Aptos"/>
                <w:b w:val="0"/>
                <w:color w:val="132238"/>
                <w:sz w:val="17"/>
              </w:rPr>
              <w:t>github.com/krishna1211711/fixed-deposit-microservice</w:t>
            </w:r>
          </w:p>
        </w:tc>
      </w:tr>
      <w:tr>
        <w:tc>
          <w:tcPr>
            <w:tcW w:type="dxa" w:w="2592"/>
            <w:vAlign w:val="center"/>
          </w:tcPr>
          <w:p>
            <w:r/>
            <w:r>
              <w:rPr>
                <w:rFonts w:ascii="Aptos" w:hAnsi="Aptos"/>
                <w:b w:val="0"/>
                <w:color w:val="132238"/>
                <w:sz w:val="17"/>
              </w:rPr>
              <w:t>Integration baseline</w:t>
            </w:r>
          </w:p>
        </w:tc>
        <w:tc>
          <w:tcPr>
            <w:tcW w:type="dxa" w:w="6912"/>
            <w:vAlign w:val="center"/>
          </w:tcPr>
          <w:p>
            <w:r/>
            <w:r>
              <w:rPr>
                <w:rFonts w:ascii="Aptos" w:hAnsi="Aptos"/>
                <w:b w:val="0"/>
                <w:color w:val="132238"/>
                <w:sz w:val="17"/>
              </w:rPr>
              <w:t>github.com/kashvikumaar/BT-Team-1</w:t>
            </w:r>
          </w:p>
        </w:tc>
      </w:tr>
      <w:tr>
        <w:tc>
          <w:tcPr>
            <w:tcW w:type="dxa" w:w="2592"/>
            <w:vAlign w:val="center"/>
            <w:shd w:fill="E8F3F1"/>
          </w:tcPr>
          <w:p>
            <w:r/>
            <w:r>
              <w:rPr>
                <w:rFonts w:ascii="Aptos" w:hAnsi="Aptos"/>
                <w:b w:val="0"/>
                <w:color w:val="132238"/>
                <w:sz w:val="17"/>
              </w:rPr>
              <w:t>Prepared</w:t>
            </w:r>
          </w:p>
        </w:tc>
        <w:tc>
          <w:tcPr>
            <w:tcW w:type="dxa" w:w="6912"/>
            <w:vAlign w:val="center"/>
            <w:shd w:fill="E8F3F1"/>
          </w:tcPr>
          <w:p>
            <w:r/>
            <w:r>
              <w:rPr>
                <w:rFonts w:ascii="Aptos" w:hAnsi="Aptos"/>
                <w:b w:val="0"/>
                <w:color w:val="132238"/>
                <w:sz w:val="17"/>
              </w:rPr>
              <w:t>September 2026</w:t>
            </w:r>
          </w:p>
        </w:tc>
      </w:tr>
    </w:tbl>
    <w:p/>
    <w:p>
      <w:r>
        <w:t>This submission is designed for a reproducible local lab demonstration today and for extension into a portfolio-grade, independently scalable banking platform later.</w:t>
      </w:r>
    </w:p>
    <w:p>
      <w:r>
        <w:br w:type="page"/>
      </w:r>
    </w:p>
    <w:p>
      <w:r>
        <w:rPr>
          <w:b/>
          <w:color w:val="D4A72C"/>
          <w:sz w:val="18"/>
        </w:rPr>
        <w:t>01 • OVERVIEW</w:t>
      </w:r>
    </w:p>
    <w:p>
      <w:pPr>
        <w:pStyle w:val="Heading1"/>
      </w:pPr>
      <w:r>
        <w:t>Executive summary</w:t>
      </w:r>
    </w:p>
    <w:p>
      <w:r>
        <w:t>The project implements a complete fixed-deposit lifecycle as independently deployable services behind an API gateway. A Spring Boot domain service owns account, product, interest, maturity, withdrawal and statement logic. Angular provides role-aware workflows. Separate Python reporting and notification services handle read-oriented exports and email delivery. Apache Kafka carries versioned lifecycle events, MySQL persists operational data, and Mailpit captures email without paid credentials.</w:t>
      </w:r>
    </w:p>
    <w:tbl>
      <w:tblPr>
        <w:tblStyle w:val="TableGrid"/>
        <w:tblW w:type="auto" w:w="0"/>
        <w:jc w:val="center"/>
        <w:tblLook w:firstColumn="1" w:firstRow="1" w:lastColumn="0" w:lastRow="0" w:noHBand="0" w:noVBand="1" w:val="04A0"/>
      </w:tblPr>
      <w:tblGrid>
        <w:gridCol w:w="4997"/>
        <w:gridCol w:w="4997"/>
      </w:tblGrid>
      <w:tr>
        <w:tc>
          <w:tcPr>
            <w:tcW w:type="dxa" w:w="2448"/>
            <w:vAlign w:val="center"/>
            <w:shd w:fill="0F766E"/>
          </w:tcPr>
          <w:p>
            <w:r/>
            <w:r>
              <w:rPr>
                <w:rFonts w:ascii="Aptos" w:hAnsi="Aptos"/>
                <w:b/>
                <w:color w:val="FFFFFF"/>
                <w:sz w:val="18"/>
              </w:rPr>
              <w:t>Outcome</w:t>
            </w:r>
          </w:p>
        </w:tc>
        <w:tc>
          <w:tcPr>
            <w:tcW w:type="dxa" w:w="7056"/>
            <w:vAlign w:val="center"/>
            <w:shd w:fill="0F766E"/>
          </w:tcPr>
          <w:p>
            <w:r/>
            <w:r>
              <w:rPr>
                <w:rFonts w:ascii="Aptos" w:hAnsi="Aptos"/>
                <w:b/>
                <w:color w:val="FFFFFF"/>
                <w:sz w:val="18"/>
              </w:rPr>
              <w:t>Delivered capability</w:t>
            </w:r>
          </w:p>
        </w:tc>
      </w:tr>
      <w:tr>
        <w:tc>
          <w:tcPr>
            <w:tcW w:type="dxa" w:w="2448"/>
            <w:vAlign w:val="center"/>
          </w:tcPr>
          <w:p>
            <w:r/>
            <w:r>
              <w:rPr>
                <w:rFonts w:ascii="Aptos" w:hAnsi="Aptos"/>
                <w:b w:val="0"/>
                <w:color w:val="132238"/>
                <w:sz w:val="17"/>
              </w:rPr>
              <w:t>Reproducible demo</w:t>
            </w:r>
          </w:p>
        </w:tc>
        <w:tc>
          <w:tcPr>
            <w:tcW w:type="dxa" w:w="7056"/>
            <w:vAlign w:val="center"/>
          </w:tcPr>
          <w:p>
            <w:r/>
            <w:r>
              <w:rPr>
                <w:rFonts w:ascii="Aptos" w:hAnsi="Aptos"/>
                <w:b w:val="0"/>
                <w:color w:val="132238"/>
                <w:sz w:val="17"/>
              </w:rPr>
              <w:t>One Docker Compose command starts eight containers with health checks.</w:t>
            </w:r>
          </w:p>
        </w:tc>
      </w:tr>
      <w:tr>
        <w:tc>
          <w:tcPr>
            <w:tcW w:type="dxa" w:w="2448"/>
            <w:vAlign w:val="center"/>
            <w:shd w:fill="E8F3F1"/>
          </w:tcPr>
          <w:p>
            <w:r/>
            <w:r>
              <w:rPr>
                <w:rFonts w:ascii="Aptos" w:hAnsi="Aptos"/>
                <w:b w:val="0"/>
                <w:color w:val="132238"/>
                <w:sz w:val="17"/>
              </w:rPr>
              <w:t>Banking lifecycle</w:t>
            </w:r>
          </w:p>
        </w:tc>
        <w:tc>
          <w:tcPr>
            <w:tcW w:type="dxa" w:w="7056"/>
            <w:vAlign w:val="center"/>
            <w:shd w:fill="E8F3F1"/>
          </w:tcPr>
          <w:p>
            <w:r/>
            <w:r>
              <w:rPr>
                <w:rFonts w:ascii="Aptos" w:hAnsi="Aptos"/>
                <w:b w:val="0"/>
                <w:color w:val="132238"/>
                <w:sz w:val="17"/>
              </w:rPr>
              <w:t>Create → transact → accrue → mature/withdraw → notify → report.</w:t>
            </w:r>
          </w:p>
        </w:tc>
      </w:tr>
      <w:tr>
        <w:tc>
          <w:tcPr>
            <w:tcW w:type="dxa" w:w="2448"/>
            <w:vAlign w:val="center"/>
          </w:tcPr>
          <w:p>
            <w:r/>
            <w:r>
              <w:rPr>
                <w:rFonts w:ascii="Aptos" w:hAnsi="Aptos"/>
                <w:b w:val="0"/>
                <w:color w:val="132238"/>
                <w:sz w:val="17"/>
              </w:rPr>
              <w:t>Security</w:t>
            </w:r>
          </w:p>
        </w:tc>
        <w:tc>
          <w:tcPr>
            <w:tcW w:type="dxa" w:w="7056"/>
            <w:vAlign w:val="center"/>
          </w:tcPr>
          <w:p>
            <w:r/>
            <w:r>
              <w:rPr>
                <w:rFonts w:ascii="Aptos" w:hAnsi="Aptos"/>
                <w:b w:val="0"/>
                <w:color w:val="132238"/>
                <w:sz w:val="17"/>
              </w:rPr>
              <w:t>JWT authentication, role restrictions, customer ownership checks, no committed live secrets.</w:t>
            </w:r>
          </w:p>
        </w:tc>
      </w:tr>
      <w:tr>
        <w:tc>
          <w:tcPr>
            <w:tcW w:type="dxa" w:w="2448"/>
            <w:vAlign w:val="center"/>
            <w:shd w:fill="E8F3F1"/>
          </w:tcPr>
          <w:p>
            <w:r/>
            <w:r>
              <w:rPr>
                <w:rFonts w:ascii="Aptos" w:hAnsi="Aptos"/>
                <w:b w:val="0"/>
                <w:color w:val="132238"/>
                <w:sz w:val="17"/>
              </w:rPr>
              <w:t>International readiness</w:t>
            </w:r>
          </w:p>
        </w:tc>
        <w:tc>
          <w:tcPr>
            <w:tcW w:type="dxa" w:w="7056"/>
            <w:vAlign w:val="center"/>
            <w:shd w:fill="E8F3F1"/>
          </w:tcPr>
          <w:p>
            <w:r/>
            <w:r>
              <w:rPr>
                <w:rFonts w:ascii="Aptos" w:hAnsi="Aptos"/>
                <w:b w:val="0"/>
                <w:color w:val="132238"/>
                <w:sz w:val="17"/>
              </w:rPr>
              <w:t>INR, USD, EUR, GBP, JPY, AED and KWD with ISO-aware minor units.</w:t>
            </w:r>
          </w:p>
        </w:tc>
      </w:tr>
      <w:tr>
        <w:tc>
          <w:tcPr>
            <w:tcW w:type="dxa" w:w="2448"/>
            <w:vAlign w:val="center"/>
          </w:tcPr>
          <w:p>
            <w:r/>
            <w:r>
              <w:rPr>
                <w:rFonts w:ascii="Aptos" w:hAnsi="Aptos"/>
                <w:b w:val="0"/>
                <w:color w:val="132238"/>
                <w:sz w:val="17"/>
              </w:rPr>
              <w:t>Scale path</w:t>
            </w:r>
          </w:p>
        </w:tc>
        <w:tc>
          <w:tcPr>
            <w:tcW w:type="dxa" w:w="7056"/>
            <w:vAlign w:val="center"/>
          </w:tcPr>
          <w:p>
            <w:r/>
            <w:r>
              <w:rPr>
                <w:rFonts w:ascii="Aptos" w:hAnsi="Aptos"/>
                <w:b w:val="0"/>
                <w:color w:val="132238"/>
                <w:sz w:val="17"/>
              </w:rPr>
              <w:t>Stateless gateway/services, Kubernetes manifests and HPA definitions.</w:t>
            </w:r>
          </w:p>
        </w:tc>
      </w:tr>
      <w:tr>
        <w:tc>
          <w:tcPr>
            <w:tcW w:type="dxa" w:w="2448"/>
            <w:vAlign w:val="center"/>
            <w:shd w:fill="E8F3F1"/>
          </w:tcPr>
          <w:p>
            <w:r/>
            <w:r>
              <w:rPr>
                <w:rFonts w:ascii="Aptos" w:hAnsi="Aptos"/>
                <w:b w:val="0"/>
                <w:color w:val="132238"/>
                <w:sz w:val="17"/>
              </w:rPr>
              <w:t>Evidence</w:t>
            </w:r>
          </w:p>
        </w:tc>
        <w:tc>
          <w:tcPr>
            <w:tcW w:type="dxa" w:w="7056"/>
            <w:vAlign w:val="center"/>
            <w:shd w:fill="E8F3F1"/>
          </w:tcPr>
          <w:p>
            <w:r/>
            <w:r>
              <w:rPr>
                <w:rFonts w:ascii="Aptos" w:hAnsi="Aptos"/>
                <w:b w:val="0"/>
                <w:color w:val="132238"/>
                <w:sz w:val="17"/>
              </w:rPr>
              <w:t>27 backend tests, frontend production build, container and API smoke tests.</w:t>
            </w:r>
          </w:p>
        </w:tc>
      </w:tr>
    </w:tbl>
    <w:p/>
    <w:p>
      <w:pPr>
        <w:pStyle w:val="Heading2"/>
      </w:pPr>
      <w:r>
        <w:t>Design principles</w:t>
      </w:r>
    </w:p>
    <w:p>
      <w:pPr>
        <w:pStyle w:val="ListBullet"/>
      </w:pPr>
      <w:r>
        <w:t>Services own a bounded responsibility and communicate through versionable HTTP contracts.</w:t>
      </w:r>
    </w:p>
    <w:p>
      <w:pPr>
        <w:pStyle w:val="ListBullet"/>
      </w:pPr>
      <w:r>
        <w:t>Money is stored using decimal arithmetic; currency validation happens at service boundaries.</w:t>
      </w:r>
    </w:p>
    <w:p>
      <w:pPr>
        <w:pStyle w:val="ListBullet"/>
      </w:pPr>
      <w:r>
        <w:t>Scheduled jobs are also exposed as administrator-only demo controls for deterministic evaluation.</w:t>
      </w:r>
    </w:p>
    <w:p>
      <w:pPr>
        <w:pStyle w:val="ListBullet"/>
      </w:pPr>
      <w:r>
        <w:t>Optional external dependencies have free local substitutes, so the professor needs no cloud account.</w:t>
      </w:r>
    </w:p>
    <w:p>
      <w:r>
        <w:br w:type="page"/>
      </w:r>
    </w:p>
    <w:p>
      <w:r>
        <w:rPr>
          <w:b/>
          <w:color w:val="D4A72C"/>
          <w:sz w:val="18"/>
        </w:rPr>
        <w:t>02 • SCOPE</w:t>
      </w:r>
    </w:p>
    <w:p>
      <w:pPr>
        <w:pStyle w:val="Heading1"/>
      </w:pPr>
      <w:r>
        <w:t>Requirements and traceability</w:t>
      </w:r>
    </w:p>
    <w:p>
      <w:r>
        <w:t>The lab manuals were treated as minimum requirements. The implementation adds integration, security, observability, internationalization and deployment assets above that baseline.</w:t>
      </w:r>
    </w:p>
    <w:tbl>
      <w:tblPr>
        <w:tblStyle w:val="TableGrid"/>
        <w:tblW w:type="auto" w:w="0"/>
        <w:jc w:val="center"/>
        <w:tblLook w:firstColumn="1" w:firstRow="1" w:lastColumn="0" w:lastRow="0" w:noHBand="0" w:noVBand="1" w:val="04A0"/>
      </w:tblPr>
      <w:tblGrid>
        <w:gridCol w:w="3331"/>
        <w:gridCol w:w="3331"/>
        <w:gridCol w:w="3331"/>
      </w:tblGrid>
      <w:tr>
        <w:tc>
          <w:tcPr>
            <w:tcW w:type="dxa" w:w="2016"/>
            <w:vAlign w:val="center"/>
            <w:shd w:fill="0F766E"/>
          </w:tcPr>
          <w:p>
            <w:r/>
            <w:r>
              <w:rPr>
                <w:rFonts w:ascii="Aptos" w:hAnsi="Aptos"/>
                <w:b/>
                <w:color w:val="FFFFFF"/>
                <w:sz w:val="18"/>
              </w:rPr>
              <w:t>Requirement</w:t>
            </w:r>
          </w:p>
        </w:tc>
        <w:tc>
          <w:tcPr>
            <w:tcW w:type="dxa" w:w="6192"/>
            <w:vAlign w:val="center"/>
            <w:shd w:fill="0F766E"/>
          </w:tcPr>
          <w:p>
            <w:r/>
            <w:r>
              <w:rPr>
                <w:rFonts w:ascii="Aptos" w:hAnsi="Aptos"/>
                <w:b/>
                <w:color w:val="FFFFFF"/>
                <w:sz w:val="18"/>
              </w:rPr>
              <w:t>Implementation evidence</w:t>
            </w:r>
          </w:p>
        </w:tc>
        <w:tc>
          <w:tcPr>
            <w:tcW w:type="dxa" w:w="1440"/>
            <w:vAlign w:val="center"/>
            <w:shd w:fill="0F766E"/>
          </w:tcPr>
          <w:p>
            <w:r/>
            <w:r>
              <w:rPr>
                <w:rFonts w:ascii="Aptos" w:hAnsi="Aptos"/>
                <w:b/>
                <w:color w:val="FFFFFF"/>
                <w:sz w:val="18"/>
              </w:rPr>
              <w:t>Status</w:t>
            </w:r>
          </w:p>
        </w:tc>
      </w:tr>
      <w:tr>
        <w:tc>
          <w:tcPr>
            <w:tcW w:type="dxa" w:w="2016"/>
            <w:vAlign w:val="center"/>
          </w:tcPr>
          <w:p>
            <w:r/>
            <w:r>
              <w:rPr>
                <w:rFonts w:ascii="Aptos" w:hAnsi="Aptos"/>
                <w:b w:val="0"/>
                <w:color w:val="132238"/>
                <w:sz w:val="17"/>
              </w:rPr>
              <w:t>FD creation</w:t>
            </w:r>
          </w:p>
        </w:tc>
        <w:tc>
          <w:tcPr>
            <w:tcW w:type="dxa" w:w="6192"/>
            <w:vAlign w:val="center"/>
          </w:tcPr>
          <w:p>
            <w:r/>
            <w:r>
              <w:rPr>
                <w:rFonts w:ascii="Aptos" w:hAnsi="Aptos"/>
                <w:b w:val="0"/>
                <w:color w:val="132238"/>
                <w:sz w:val="17"/>
              </w:rPr>
              <w:t>Validated product, customer, branch, term, amount and opening transaction</w:t>
            </w:r>
          </w:p>
        </w:tc>
        <w:tc>
          <w:tcPr>
            <w:tcW w:type="dxa" w:w="1440"/>
            <w:vAlign w:val="center"/>
          </w:tcPr>
          <w:p>
            <w:r/>
            <w:r>
              <w:rPr>
                <w:rFonts w:ascii="Aptos" w:hAnsi="Aptos"/>
                <w:b w:val="0"/>
                <w:color w:val="132238"/>
                <w:sz w:val="17"/>
              </w:rPr>
              <w:t>Complete</w:t>
            </w:r>
          </w:p>
        </w:tc>
      </w:tr>
      <w:tr>
        <w:tc>
          <w:tcPr>
            <w:tcW w:type="dxa" w:w="2016"/>
            <w:vAlign w:val="center"/>
            <w:shd w:fill="E8F3F1"/>
          </w:tcPr>
          <w:p>
            <w:r/>
            <w:r>
              <w:rPr>
                <w:rFonts w:ascii="Aptos" w:hAnsi="Aptos"/>
                <w:b w:val="0"/>
                <w:color w:val="132238"/>
                <w:sz w:val="17"/>
              </w:rPr>
              <w:t>Interest</w:t>
            </w:r>
          </w:p>
        </w:tc>
        <w:tc>
          <w:tcPr>
            <w:tcW w:type="dxa" w:w="6192"/>
            <w:vAlign w:val="center"/>
            <w:shd w:fill="E8F3F1"/>
          </w:tcPr>
          <w:p>
            <w:r/>
            <w:r>
              <w:rPr>
                <w:rFonts w:ascii="Aptos" w:hAnsi="Aptos"/>
                <w:b w:val="0"/>
                <w:color w:val="132238"/>
                <w:sz w:val="17"/>
              </w:rPr>
              <w:t>Simple/compound calculator; scheduled daily accrual and capitalization</w:t>
            </w:r>
          </w:p>
        </w:tc>
        <w:tc>
          <w:tcPr>
            <w:tcW w:type="dxa" w:w="1440"/>
            <w:vAlign w:val="center"/>
            <w:shd w:fill="E8F3F1"/>
          </w:tcPr>
          <w:p>
            <w:r/>
            <w:r>
              <w:rPr>
                <w:rFonts w:ascii="Aptos" w:hAnsi="Aptos"/>
                <w:b w:val="0"/>
                <w:color w:val="132238"/>
                <w:sz w:val="17"/>
              </w:rPr>
              <w:t>Complete</w:t>
            </w:r>
          </w:p>
        </w:tc>
      </w:tr>
      <w:tr>
        <w:tc>
          <w:tcPr>
            <w:tcW w:type="dxa" w:w="2016"/>
            <w:vAlign w:val="center"/>
          </w:tcPr>
          <w:p>
            <w:r/>
            <w:r>
              <w:rPr>
                <w:rFonts w:ascii="Aptos" w:hAnsi="Aptos"/>
                <w:b w:val="0"/>
                <w:color w:val="132238"/>
                <w:sz w:val="17"/>
              </w:rPr>
              <w:t>Maturity</w:t>
            </w:r>
          </w:p>
        </w:tc>
        <w:tc>
          <w:tcPr>
            <w:tcW w:type="dxa" w:w="6192"/>
            <w:vAlign w:val="center"/>
          </w:tcPr>
          <w:p>
            <w:r/>
            <w:r>
              <w:rPr>
                <w:rFonts w:ascii="Aptos" w:hAnsi="Aptos"/>
                <w:b w:val="0"/>
                <w:color w:val="132238"/>
                <w:sz w:val="17"/>
              </w:rPr>
              <w:t>Maturity processor, payout transaction, manual close and notification</w:t>
            </w:r>
          </w:p>
        </w:tc>
        <w:tc>
          <w:tcPr>
            <w:tcW w:type="dxa" w:w="1440"/>
            <w:vAlign w:val="center"/>
          </w:tcPr>
          <w:p>
            <w:r/>
            <w:r>
              <w:rPr>
                <w:rFonts w:ascii="Aptos" w:hAnsi="Aptos"/>
                <w:b w:val="0"/>
                <w:color w:val="132238"/>
                <w:sz w:val="17"/>
              </w:rPr>
              <w:t>Complete</w:t>
            </w:r>
          </w:p>
        </w:tc>
      </w:tr>
      <w:tr>
        <w:tc>
          <w:tcPr>
            <w:tcW w:type="dxa" w:w="2016"/>
            <w:vAlign w:val="center"/>
            <w:shd w:fill="E8F3F1"/>
          </w:tcPr>
          <w:p>
            <w:r/>
            <w:r>
              <w:rPr>
                <w:rFonts w:ascii="Aptos" w:hAnsi="Aptos"/>
                <w:b w:val="0"/>
                <w:color w:val="132238"/>
                <w:sz w:val="17"/>
              </w:rPr>
              <w:t>Premature withdrawal</w:t>
            </w:r>
          </w:p>
        </w:tc>
        <w:tc>
          <w:tcPr>
            <w:tcW w:type="dxa" w:w="6192"/>
            <w:vAlign w:val="center"/>
            <w:shd w:fill="E8F3F1"/>
          </w:tcPr>
          <w:p>
            <w:r/>
            <w:r>
              <w:rPr>
                <w:rFonts w:ascii="Aptos" w:hAnsi="Aptos"/>
                <w:b w:val="0"/>
                <w:color w:val="132238"/>
                <w:sz w:val="17"/>
              </w:rPr>
              <w:t>Penalty calculation, final payout, closure transactions</w:t>
            </w:r>
          </w:p>
        </w:tc>
        <w:tc>
          <w:tcPr>
            <w:tcW w:type="dxa" w:w="1440"/>
            <w:vAlign w:val="center"/>
            <w:shd w:fill="E8F3F1"/>
          </w:tcPr>
          <w:p>
            <w:r/>
            <w:r>
              <w:rPr>
                <w:rFonts w:ascii="Aptos" w:hAnsi="Aptos"/>
                <w:b w:val="0"/>
                <w:color w:val="132238"/>
                <w:sz w:val="17"/>
              </w:rPr>
              <w:t>Complete</w:t>
            </w:r>
          </w:p>
        </w:tc>
      </w:tr>
      <w:tr>
        <w:tc>
          <w:tcPr>
            <w:tcW w:type="dxa" w:w="2016"/>
            <w:vAlign w:val="center"/>
          </w:tcPr>
          <w:p>
            <w:r/>
            <w:r>
              <w:rPr>
                <w:rFonts w:ascii="Aptos" w:hAnsi="Aptos"/>
                <w:b w:val="0"/>
                <w:color w:val="132238"/>
                <w:sz w:val="17"/>
              </w:rPr>
              <w:t>Statements</w:t>
            </w:r>
          </w:p>
        </w:tc>
        <w:tc>
          <w:tcPr>
            <w:tcW w:type="dxa" w:w="6192"/>
            <w:vAlign w:val="center"/>
          </w:tcPr>
          <w:p>
            <w:r/>
            <w:r>
              <w:rPr>
                <w:rFonts w:ascii="Aptos" w:hAnsi="Aptos"/>
                <w:b w:val="0"/>
                <w:color w:val="132238"/>
                <w:sz w:val="17"/>
              </w:rPr>
              <w:t>Idempotent daily and final-statement generation</w:t>
            </w:r>
          </w:p>
        </w:tc>
        <w:tc>
          <w:tcPr>
            <w:tcW w:type="dxa" w:w="1440"/>
            <w:vAlign w:val="center"/>
          </w:tcPr>
          <w:p>
            <w:r/>
            <w:r>
              <w:rPr>
                <w:rFonts w:ascii="Aptos" w:hAnsi="Aptos"/>
                <w:b w:val="0"/>
                <w:color w:val="132238"/>
                <w:sz w:val="17"/>
              </w:rPr>
              <w:t>Complete</w:t>
            </w:r>
          </w:p>
        </w:tc>
      </w:tr>
      <w:tr>
        <w:tc>
          <w:tcPr>
            <w:tcW w:type="dxa" w:w="2016"/>
            <w:vAlign w:val="center"/>
            <w:shd w:fill="E8F3F1"/>
          </w:tcPr>
          <w:p>
            <w:r/>
            <w:r>
              <w:rPr>
                <w:rFonts w:ascii="Aptos" w:hAnsi="Aptos"/>
                <w:b w:val="0"/>
                <w:color w:val="132238"/>
                <w:sz w:val="17"/>
              </w:rPr>
              <w:t>Reports</w:t>
            </w:r>
          </w:p>
        </w:tc>
        <w:tc>
          <w:tcPr>
            <w:tcW w:type="dxa" w:w="6192"/>
            <w:vAlign w:val="center"/>
            <w:shd w:fill="E8F3F1"/>
          </w:tcPr>
          <w:p>
            <w:r/>
            <w:r>
              <w:rPr>
                <w:rFonts w:ascii="Aptos" w:hAnsi="Aptos"/>
                <w:b w:val="0"/>
                <w:color w:val="132238"/>
                <w:sz w:val="17"/>
              </w:rPr>
              <w:t>Spring summaries plus Python CSV/PDF/PNG exports</w:t>
            </w:r>
          </w:p>
        </w:tc>
        <w:tc>
          <w:tcPr>
            <w:tcW w:type="dxa" w:w="1440"/>
            <w:vAlign w:val="center"/>
            <w:shd w:fill="E8F3F1"/>
          </w:tcPr>
          <w:p>
            <w:r/>
            <w:r>
              <w:rPr>
                <w:rFonts w:ascii="Aptos" w:hAnsi="Aptos"/>
                <w:b w:val="0"/>
                <w:color w:val="132238"/>
                <w:sz w:val="17"/>
              </w:rPr>
              <w:t>Complete</w:t>
            </w:r>
          </w:p>
        </w:tc>
      </w:tr>
      <w:tr>
        <w:tc>
          <w:tcPr>
            <w:tcW w:type="dxa" w:w="2016"/>
            <w:vAlign w:val="center"/>
          </w:tcPr>
          <w:p>
            <w:r/>
            <w:r>
              <w:rPr>
                <w:rFonts w:ascii="Aptos" w:hAnsi="Aptos"/>
                <w:b w:val="0"/>
                <w:color w:val="132238"/>
                <w:sz w:val="17"/>
              </w:rPr>
              <w:t>Notifications</w:t>
            </w:r>
          </w:p>
        </w:tc>
        <w:tc>
          <w:tcPr>
            <w:tcW w:type="dxa" w:w="6192"/>
            <w:vAlign w:val="center"/>
          </w:tcPr>
          <w:p>
            <w:r/>
            <w:r>
              <w:rPr>
                <w:rFonts w:ascii="Aptos" w:hAnsi="Aptos"/>
                <w:b w:val="0"/>
                <w:color w:val="132238"/>
                <w:sz w:val="17"/>
              </w:rPr>
              <w:t>Audited email delivery through free local Mailpit</w:t>
            </w:r>
          </w:p>
        </w:tc>
        <w:tc>
          <w:tcPr>
            <w:tcW w:type="dxa" w:w="1440"/>
            <w:vAlign w:val="center"/>
          </w:tcPr>
          <w:p>
            <w:r/>
            <w:r>
              <w:rPr>
                <w:rFonts w:ascii="Aptos" w:hAnsi="Aptos"/>
                <w:b w:val="0"/>
                <w:color w:val="132238"/>
                <w:sz w:val="17"/>
              </w:rPr>
              <w:t>Complete</w:t>
            </w:r>
          </w:p>
        </w:tc>
      </w:tr>
      <w:tr>
        <w:tc>
          <w:tcPr>
            <w:tcW w:type="dxa" w:w="2016"/>
            <w:vAlign w:val="center"/>
            <w:shd w:fill="E8F3F1"/>
          </w:tcPr>
          <w:p>
            <w:r/>
            <w:r>
              <w:rPr>
                <w:rFonts w:ascii="Aptos" w:hAnsi="Aptos"/>
                <w:b w:val="0"/>
                <w:color w:val="132238"/>
                <w:sz w:val="17"/>
              </w:rPr>
              <w:t>Team integration</w:t>
            </w:r>
          </w:p>
        </w:tc>
        <w:tc>
          <w:tcPr>
            <w:tcW w:type="dxa" w:w="6192"/>
            <w:vAlign w:val="center"/>
            <w:shd w:fill="E8F3F1"/>
          </w:tcPr>
          <w:p>
            <w:r/>
            <w:r>
              <w:rPr>
                <w:rFonts w:ascii="Aptos" w:hAnsi="Aptos"/>
                <w:b w:val="0"/>
                <w:color w:val="132238"/>
                <w:sz w:val="17"/>
              </w:rPr>
              <w:t>Shared Swagger mapped; unresolved live payloads documented</w:t>
            </w:r>
          </w:p>
        </w:tc>
        <w:tc>
          <w:tcPr>
            <w:tcW w:type="dxa" w:w="1440"/>
            <w:vAlign w:val="center"/>
            <w:shd w:fill="E8F3F1"/>
          </w:tcPr>
          <w:p>
            <w:r/>
            <w:r>
              <w:rPr>
                <w:rFonts w:ascii="Aptos" w:hAnsi="Aptos"/>
                <w:b w:val="0"/>
                <w:color w:val="132238"/>
                <w:sz w:val="17"/>
              </w:rPr>
              <w:t>Contract-ready</w:t>
            </w:r>
          </w:p>
        </w:tc>
      </w:tr>
    </w:tbl>
    <w:p/>
    <w:p>
      <w:pPr>
        <w:pStyle w:val="Heading2"/>
      </w:pPr>
      <w:r>
        <w:t>Out of scope for this lab submission</w:t>
      </w:r>
    </w:p>
    <w:p>
      <w:r>
        <w:t>Real core-banking settlement, paid SMS/WhatsApp delivery, public-cloud production deployment and the other teams’ unavailable source services are intentionally external. Extension points and configuration are included without inventing contracts that the owners have not supplied.</w:t>
      </w:r>
    </w:p>
    <w:p>
      <w:r>
        <w:br w:type="page"/>
      </w:r>
    </w:p>
    <w:p>
      <w:r>
        <w:rPr>
          <w:b/>
          <w:color w:val="D4A72C"/>
          <w:sz w:val="18"/>
        </w:rPr>
        <w:t>03 • ARCHITECTURE</w:t>
      </w:r>
    </w:p>
    <w:p>
      <w:pPr>
        <w:pStyle w:val="Heading1"/>
      </w:pPr>
      <w:r>
        <w:t>Solution architecture</w:t>
      </w:r>
    </w:p>
    <w:p>
      <w:r>
        <w:t>The application follows a microservices architecture. Each runtime can be replaced or scaled independently; only the database remains a shared local-demo dependency. Kafka already separates lifecycle processing from notification delivery. A production evolution would give each bounded context its own database and add a transactional outbox for guaranteed event publication.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800"/>
            <w:vAlign w:val="center"/>
            <w:shd w:fill="0F766E"/>
          </w:tcPr>
          <w:p>
            <w:r/>
            <w:r>
              <w:rPr>
                <w:rFonts w:ascii="Aptos" w:hAnsi="Aptos"/>
                <w:b/>
                <w:color w:val="FFFFFF"/>
                <w:sz w:val="18"/>
              </w:rPr>
              <w:t>Layer / service</w:t>
            </w:r>
          </w:p>
        </w:tc>
        <w:tc>
          <w:tcPr>
            <w:tcW w:type="dxa" w:w="3672"/>
            <w:vAlign w:val="center"/>
            <w:shd w:fill="0F766E"/>
          </w:tcPr>
          <w:p>
            <w:r/>
            <w:r>
              <w:rPr>
                <w:rFonts w:ascii="Aptos" w:hAnsi="Aptos"/>
                <w:b/>
                <w:color w:val="FFFFFF"/>
                <w:sz w:val="18"/>
              </w:rPr>
              <w:t>Responsibility</w:t>
            </w:r>
          </w:p>
        </w:tc>
        <w:tc>
          <w:tcPr>
            <w:tcW w:type="dxa" w:w="1152"/>
            <w:vAlign w:val="center"/>
            <w:shd w:fill="0F766E"/>
          </w:tcPr>
          <w:p>
            <w:r/>
            <w:r>
              <w:rPr>
                <w:rFonts w:ascii="Aptos" w:hAnsi="Aptos"/>
                <w:b/>
                <w:color w:val="FFFFFF"/>
                <w:sz w:val="18"/>
              </w:rPr>
              <w:t>Local port</w:t>
            </w:r>
          </w:p>
        </w:tc>
        <w:tc>
          <w:tcPr>
            <w:tcW w:type="dxa" w:w="2304"/>
            <w:vAlign w:val="center"/>
            <w:shd w:fill="0F766E"/>
          </w:tcPr>
          <w:p>
            <w:r/>
            <w:r>
              <w:rPr>
                <w:rFonts w:ascii="Aptos" w:hAnsi="Aptos"/>
                <w:b/>
                <w:color w:val="FFFFFF"/>
                <w:sz w:val="18"/>
              </w:rPr>
              <w:t>Scale characteristic</w:t>
            </w:r>
          </w:p>
        </w:tc>
      </w:tr>
      <w:tr>
        <w:tc>
          <w:tcPr>
            <w:tcW w:type="dxa" w:w="1800"/>
            <w:vAlign w:val="center"/>
          </w:tcPr>
          <w:p>
            <w:r/>
            <w:r>
              <w:rPr>
                <w:rFonts w:ascii="Aptos" w:hAnsi="Aptos"/>
                <w:b w:val="0"/>
                <w:color w:val="132238"/>
                <w:sz w:val="17"/>
              </w:rPr>
              <w:t>Angular UI</w:t>
            </w:r>
          </w:p>
        </w:tc>
        <w:tc>
          <w:tcPr>
            <w:tcW w:type="dxa" w:w="3672"/>
            <w:vAlign w:val="center"/>
          </w:tcPr>
          <w:p>
            <w:r/>
            <w:r>
              <w:rPr>
                <w:rFonts w:ascii="Aptos" w:hAnsi="Aptos"/>
                <w:b w:val="0"/>
                <w:color w:val="132238"/>
                <w:sz w:val="17"/>
              </w:rPr>
              <w:t>Role-aware screens and client validation</w:t>
            </w:r>
          </w:p>
        </w:tc>
        <w:tc>
          <w:tcPr>
            <w:tcW w:type="dxa" w:w="1152"/>
            <w:vAlign w:val="center"/>
          </w:tcPr>
          <w:p>
            <w:r/>
            <w:r>
              <w:rPr>
                <w:rFonts w:ascii="Aptos" w:hAnsi="Aptos"/>
                <w:b w:val="0"/>
                <w:color w:val="132238"/>
                <w:sz w:val="17"/>
              </w:rPr>
              <w:t>4200</w:t>
            </w:r>
          </w:p>
        </w:tc>
        <w:tc>
          <w:tcPr>
            <w:tcW w:type="dxa" w:w="2304"/>
            <w:vAlign w:val="center"/>
          </w:tcPr>
          <w:p>
            <w:r/>
            <w:r>
              <w:rPr>
                <w:rFonts w:ascii="Aptos" w:hAnsi="Aptos"/>
                <w:b w:val="0"/>
                <w:color w:val="132238"/>
                <w:sz w:val="17"/>
              </w:rPr>
              <w:t>Static replicas/CDN</w:t>
            </w:r>
          </w:p>
        </w:tc>
      </w:tr>
      <w:tr>
        <w:tc>
          <w:tcPr>
            <w:tcW w:type="dxa" w:w="1800"/>
            <w:vAlign w:val="center"/>
            <w:shd w:fill="E8F3F1"/>
          </w:tcPr>
          <w:p>
            <w:r/>
            <w:r>
              <w:rPr>
                <w:rFonts w:ascii="Aptos" w:hAnsi="Aptos"/>
                <w:b w:val="0"/>
                <w:color w:val="132238"/>
                <w:sz w:val="17"/>
              </w:rPr>
              <w:t>API Gateway</w:t>
            </w:r>
          </w:p>
        </w:tc>
        <w:tc>
          <w:tcPr>
            <w:tcW w:type="dxa" w:w="3672"/>
            <w:vAlign w:val="center"/>
            <w:shd w:fill="E8F3F1"/>
          </w:tcPr>
          <w:p>
            <w:r/>
            <w:r>
              <w:rPr>
                <w:rFonts w:ascii="Aptos" w:hAnsi="Aptos"/>
                <w:b w:val="0"/>
                <w:color w:val="132238"/>
                <w:sz w:val="17"/>
              </w:rPr>
              <w:t>Routing and JWT pre-validation</w:t>
            </w:r>
          </w:p>
        </w:tc>
        <w:tc>
          <w:tcPr>
            <w:tcW w:type="dxa" w:w="1152"/>
            <w:vAlign w:val="center"/>
            <w:shd w:fill="E8F3F1"/>
          </w:tcPr>
          <w:p>
            <w:r/>
            <w:r>
              <w:rPr>
                <w:rFonts w:ascii="Aptos" w:hAnsi="Aptos"/>
                <w:b w:val="0"/>
                <w:color w:val="132238"/>
                <w:sz w:val="17"/>
              </w:rPr>
              <w:t>9090</w:t>
            </w:r>
          </w:p>
        </w:tc>
        <w:tc>
          <w:tcPr>
            <w:tcW w:type="dxa" w:w="2304"/>
            <w:vAlign w:val="center"/>
            <w:shd w:fill="E8F3F1"/>
          </w:tcPr>
          <w:p>
            <w:r/>
            <w:r>
              <w:rPr>
                <w:rFonts w:ascii="Aptos" w:hAnsi="Aptos"/>
                <w:b w:val="0"/>
                <w:color w:val="132238"/>
                <w:sz w:val="17"/>
              </w:rPr>
              <w:t>Stateless horizontal</w:t>
            </w:r>
          </w:p>
        </w:tc>
      </w:tr>
      <w:tr>
        <w:tc>
          <w:tcPr>
            <w:tcW w:type="dxa" w:w="1800"/>
            <w:vAlign w:val="center"/>
          </w:tcPr>
          <w:p>
            <w:r/>
            <w:r>
              <w:rPr>
                <w:rFonts w:ascii="Aptos" w:hAnsi="Aptos"/>
                <w:b w:val="0"/>
                <w:color w:val="132238"/>
                <w:sz w:val="17"/>
              </w:rPr>
              <w:t>FD Service</w:t>
            </w:r>
          </w:p>
        </w:tc>
        <w:tc>
          <w:tcPr>
            <w:tcW w:type="dxa" w:w="3672"/>
            <w:vAlign w:val="center"/>
          </w:tcPr>
          <w:p>
            <w:r/>
            <w:r>
              <w:rPr>
                <w:rFonts w:ascii="Aptos" w:hAnsi="Aptos"/>
                <w:b w:val="0"/>
                <w:color w:val="132238"/>
                <w:sz w:val="17"/>
              </w:rPr>
              <w:t>Products, accounts, lifecycle and schedules</w:t>
            </w:r>
          </w:p>
        </w:tc>
        <w:tc>
          <w:tcPr>
            <w:tcW w:type="dxa" w:w="1152"/>
            <w:vAlign w:val="center"/>
          </w:tcPr>
          <w:p>
            <w:r/>
            <w:r>
              <w:rPr>
                <w:rFonts w:ascii="Aptos" w:hAnsi="Aptos"/>
                <w:b w:val="0"/>
                <w:color w:val="132238"/>
                <w:sz w:val="17"/>
              </w:rPr>
              <w:t>8080</w:t>
            </w:r>
          </w:p>
        </w:tc>
        <w:tc>
          <w:tcPr>
            <w:tcW w:type="dxa" w:w="2304"/>
            <w:vAlign w:val="center"/>
          </w:tcPr>
          <w:p>
            <w:r/>
            <w:r>
              <w:rPr>
                <w:rFonts w:ascii="Aptos" w:hAnsi="Aptos"/>
                <w:b w:val="0"/>
                <w:color w:val="132238"/>
                <w:sz w:val="17"/>
              </w:rPr>
              <w:t>Stateless horizontal</w:t>
            </w:r>
          </w:p>
        </w:tc>
      </w:tr>
      <w:tr>
        <w:tc>
          <w:tcPr>
            <w:tcW w:type="dxa" w:w="1800"/>
            <w:vAlign w:val="center"/>
            <w:shd w:fill="E8F3F1"/>
          </w:tcPr>
          <w:p>
            <w:r/>
            <w:r>
              <w:rPr>
                <w:rFonts w:ascii="Aptos" w:hAnsi="Aptos"/>
                <w:b w:val="0"/>
                <w:color w:val="132238"/>
                <w:sz w:val="17"/>
              </w:rPr>
              <w:t>Report Service</w:t>
            </w:r>
          </w:p>
        </w:tc>
        <w:tc>
          <w:tcPr>
            <w:tcW w:type="dxa" w:w="3672"/>
            <w:vAlign w:val="center"/>
            <w:shd w:fill="E8F3F1"/>
          </w:tcPr>
          <w:p>
            <w:r/>
            <w:r>
              <w:rPr>
                <w:rFonts w:ascii="Aptos" w:hAnsi="Aptos"/>
                <w:b w:val="0"/>
                <w:color w:val="132238"/>
                <w:sz w:val="17"/>
              </w:rPr>
              <w:t>CSV, PDF and chart generation</w:t>
            </w:r>
          </w:p>
        </w:tc>
        <w:tc>
          <w:tcPr>
            <w:tcW w:type="dxa" w:w="1152"/>
            <w:vAlign w:val="center"/>
            <w:shd w:fill="E8F3F1"/>
          </w:tcPr>
          <w:p>
            <w:r/>
            <w:r>
              <w:rPr>
                <w:rFonts w:ascii="Aptos" w:hAnsi="Aptos"/>
                <w:b w:val="0"/>
                <w:color w:val="132238"/>
                <w:sz w:val="17"/>
              </w:rPr>
              <w:t>5000</w:t>
            </w:r>
          </w:p>
        </w:tc>
        <w:tc>
          <w:tcPr>
            <w:tcW w:type="dxa" w:w="2304"/>
            <w:vAlign w:val="center"/>
            <w:shd w:fill="E8F3F1"/>
          </w:tcPr>
          <w:p>
            <w:r/>
            <w:r>
              <w:rPr>
                <w:rFonts w:ascii="Aptos" w:hAnsi="Aptos"/>
                <w:b w:val="0"/>
                <w:color w:val="132238"/>
                <w:sz w:val="17"/>
              </w:rPr>
              <w:t>Independent workers</w:t>
            </w:r>
          </w:p>
        </w:tc>
      </w:tr>
      <w:tr>
        <w:tc>
          <w:tcPr>
            <w:tcW w:type="dxa" w:w="1800"/>
            <w:vAlign w:val="center"/>
          </w:tcPr>
          <w:p>
            <w:r/>
            <w:r>
              <w:rPr>
                <w:rFonts w:ascii="Aptos" w:hAnsi="Aptos"/>
                <w:b w:val="0"/>
                <w:color w:val="132238"/>
                <w:sz w:val="17"/>
              </w:rPr>
              <w:t>Kafka</w:t>
            </w:r>
          </w:p>
        </w:tc>
        <w:tc>
          <w:tcPr>
            <w:tcW w:type="dxa" w:w="3672"/>
            <w:vAlign w:val="center"/>
          </w:tcPr>
          <w:p>
            <w:r/>
            <w:r>
              <w:rPr>
                <w:rFonts w:ascii="Aptos" w:hAnsi="Aptos"/>
                <w:b w:val="0"/>
                <w:color w:val="132238"/>
                <w:sz w:val="17"/>
              </w:rPr>
              <w:t>Three-partition FD lifecycle event stream</w:t>
            </w:r>
          </w:p>
        </w:tc>
        <w:tc>
          <w:tcPr>
            <w:tcW w:type="dxa" w:w="1152"/>
            <w:vAlign w:val="center"/>
          </w:tcPr>
          <w:p>
            <w:r/>
            <w:r>
              <w:rPr>
                <w:rFonts w:ascii="Aptos" w:hAnsi="Aptos"/>
                <w:b w:val="0"/>
                <w:color w:val="132238"/>
                <w:sz w:val="17"/>
              </w:rPr>
              <w:t>9092</w:t>
            </w:r>
          </w:p>
        </w:tc>
        <w:tc>
          <w:tcPr>
            <w:tcW w:type="dxa" w:w="2304"/>
            <w:vAlign w:val="center"/>
          </w:tcPr>
          <w:p>
            <w:r/>
            <w:r>
              <w:rPr>
                <w:rFonts w:ascii="Aptos" w:hAnsi="Aptos"/>
                <w:b w:val="0"/>
                <w:color w:val="132238"/>
                <w:sz w:val="17"/>
              </w:rPr>
              <w:t>Partition/consumer scaling</w:t>
            </w:r>
          </w:p>
        </w:tc>
      </w:tr>
      <w:tr>
        <w:tc>
          <w:tcPr>
            <w:tcW w:type="dxa" w:w="1800"/>
            <w:vAlign w:val="center"/>
            <w:shd w:fill="E8F3F1"/>
          </w:tcPr>
          <w:p>
            <w:r/>
            <w:r>
              <w:rPr>
                <w:rFonts w:ascii="Aptos" w:hAnsi="Aptos"/>
                <w:b w:val="0"/>
                <w:color w:val="132238"/>
                <w:sz w:val="17"/>
              </w:rPr>
              <w:t>Notification Service</w:t>
            </w:r>
          </w:p>
        </w:tc>
        <w:tc>
          <w:tcPr>
            <w:tcW w:type="dxa" w:w="3672"/>
            <w:vAlign w:val="center"/>
            <w:shd w:fill="E8F3F1"/>
          </w:tcPr>
          <w:p>
            <w:r/>
            <w:r>
              <w:rPr>
                <w:rFonts w:ascii="Aptos" w:hAnsi="Aptos"/>
                <w:b w:val="0"/>
                <w:color w:val="132238"/>
                <w:sz w:val="17"/>
              </w:rPr>
              <w:t>Idempotent event consumption and email</w:t>
            </w:r>
          </w:p>
        </w:tc>
        <w:tc>
          <w:tcPr>
            <w:tcW w:type="dxa" w:w="1152"/>
            <w:vAlign w:val="center"/>
            <w:shd w:fill="E8F3F1"/>
          </w:tcPr>
          <w:p>
            <w:r/>
            <w:r>
              <w:rPr>
                <w:rFonts w:ascii="Aptos" w:hAnsi="Aptos"/>
                <w:b w:val="0"/>
                <w:color w:val="132238"/>
                <w:sz w:val="17"/>
              </w:rPr>
              <w:t>5001</w:t>
            </w:r>
          </w:p>
        </w:tc>
        <w:tc>
          <w:tcPr>
            <w:tcW w:type="dxa" w:w="2304"/>
            <w:vAlign w:val="center"/>
            <w:shd w:fill="E8F3F1"/>
          </w:tcPr>
          <w:p>
            <w:r/>
            <w:r>
              <w:rPr>
                <w:rFonts w:ascii="Aptos" w:hAnsi="Aptos"/>
                <w:b w:val="0"/>
                <w:color w:val="132238"/>
                <w:sz w:val="17"/>
              </w:rPr>
              <w:t>Consumer-group workers</w:t>
            </w:r>
          </w:p>
        </w:tc>
      </w:tr>
      <w:tr>
        <w:tc>
          <w:tcPr>
            <w:tcW w:type="dxa" w:w="1800"/>
            <w:vAlign w:val="center"/>
          </w:tcPr>
          <w:p>
            <w:r/>
            <w:r>
              <w:rPr>
                <w:rFonts w:ascii="Aptos" w:hAnsi="Aptos"/>
                <w:b w:val="0"/>
                <w:color w:val="132238"/>
                <w:sz w:val="17"/>
              </w:rPr>
              <w:t>MySQL</w:t>
            </w:r>
          </w:p>
        </w:tc>
        <w:tc>
          <w:tcPr>
            <w:tcW w:type="dxa" w:w="3672"/>
            <w:vAlign w:val="center"/>
          </w:tcPr>
          <w:p>
            <w:r/>
            <w:r>
              <w:rPr>
                <w:rFonts w:ascii="Aptos" w:hAnsi="Aptos"/>
                <w:b w:val="0"/>
                <w:color w:val="132238"/>
                <w:sz w:val="17"/>
              </w:rPr>
              <w:t>Transactional persistence + Flyway</w:t>
            </w:r>
          </w:p>
        </w:tc>
        <w:tc>
          <w:tcPr>
            <w:tcW w:type="dxa" w:w="1152"/>
            <w:vAlign w:val="center"/>
          </w:tcPr>
          <w:p>
            <w:r/>
            <w:r>
              <w:rPr>
                <w:rFonts w:ascii="Aptos" w:hAnsi="Aptos"/>
                <w:b w:val="0"/>
                <w:color w:val="132238"/>
                <w:sz w:val="17"/>
              </w:rPr>
              <w:t>internal</w:t>
            </w:r>
          </w:p>
        </w:tc>
        <w:tc>
          <w:tcPr>
            <w:tcW w:type="dxa" w:w="2304"/>
            <w:vAlign w:val="center"/>
          </w:tcPr>
          <w:p>
            <w:r/>
            <w:r>
              <w:rPr>
                <w:rFonts w:ascii="Aptos" w:hAnsi="Aptos"/>
                <w:b w:val="0"/>
                <w:color w:val="132238"/>
                <w:sz w:val="17"/>
              </w:rPr>
              <w:t>Managed DB/replica</w:t>
            </w:r>
          </w:p>
        </w:tc>
      </w:tr>
      <w:tr>
        <w:tc>
          <w:tcPr>
            <w:tcW w:type="dxa" w:w="1800"/>
            <w:vAlign w:val="center"/>
            <w:shd w:fill="E8F3F1"/>
          </w:tcPr>
          <w:p>
            <w:r/>
            <w:r>
              <w:rPr>
                <w:rFonts w:ascii="Aptos" w:hAnsi="Aptos"/>
                <w:b w:val="0"/>
                <w:color w:val="132238"/>
                <w:sz w:val="17"/>
              </w:rPr>
              <w:t>Mailpit</w:t>
            </w:r>
          </w:p>
        </w:tc>
        <w:tc>
          <w:tcPr>
            <w:tcW w:type="dxa" w:w="3672"/>
            <w:vAlign w:val="center"/>
            <w:shd w:fill="E8F3F1"/>
          </w:tcPr>
          <w:p>
            <w:r/>
            <w:r>
              <w:rPr>
                <w:rFonts w:ascii="Aptos" w:hAnsi="Aptos"/>
                <w:b w:val="0"/>
                <w:color w:val="132238"/>
                <w:sz w:val="17"/>
              </w:rPr>
              <w:t>Free demonstration SMTP inbox</w:t>
            </w:r>
          </w:p>
        </w:tc>
        <w:tc>
          <w:tcPr>
            <w:tcW w:type="dxa" w:w="1152"/>
            <w:vAlign w:val="center"/>
            <w:shd w:fill="E8F3F1"/>
          </w:tcPr>
          <w:p>
            <w:r/>
            <w:r>
              <w:rPr>
                <w:rFonts w:ascii="Aptos" w:hAnsi="Aptos"/>
                <w:b w:val="0"/>
                <w:color w:val="132238"/>
                <w:sz w:val="17"/>
              </w:rPr>
              <w:t>8025</w:t>
            </w:r>
          </w:p>
        </w:tc>
        <w:tc>
          <w:tcPr>
            <w:tcW w:type="dxa" w:w="2304"/>
            <w:vAlign w:val="center"/>
            <w:shd w:fill="E8F3F1"/>
          </w:tcPr>
          <w:p>
            <w:r/>
            <w:r>
              <w:rPr>
                <w:rFonts w:ascii="Aptos" w:hAnsi="Aptos"/>
                <w:b w:val="0"/>
                <w:color w:val="132238"/>
                <w:sz w:val="17"/>
              </w:rPr>
              <w:t>Dev-only adapter</w:t>
            </w:r>
          </w:p>
        </w:tc>
      </w:tr>
    </w:tbl>
    <w:p/>
    <w:p>
      <w:pPr>
        <w:spacing w:before="80" w:after="140"/>
        <w:ind w:left="317" w:right="317"/>
        <w:shd w:fill="EEF2F5"/>
      </w:pPr>
      <w:r>
        <w:rPr>
          <w:rFonts w:ascii="Cascadia Mono" w:hAnsi="Cascadia Mono"/>
          <w:color w:val="132238"/>
          <w:sz w:val="16"/>
        </w:rPr>
        <w:t>Browser :4200  →  Gateway :9090  →  FD Service :8080  →  MySQL</w:t>
        <w:br/>
      </w:r>
      <w:r>
        <w:rPr>
          <w:rFonts w:ascii="Cascadia Mono" w:hAnsi="Cascadia Mono"/>
          <w:color w:val="132238"/>
          <w:sz w:val="16"/>
        </w:rPr>
        <w:t xml:space="preserve">                              ↘  Report Service :5000  →  MySQL</w:t>
        <w:br/>
      </w:r>
      <w:r>
        <w:rPr>
          <w:rFonts w:ascii="Cascadia Mono" w:hAnsi="Cascadia Mono"/>
          <w:color w:val="132238"/>
          <w:sz w:val="16"/>
        </w:rPr>
        <w:t>FD Service  →  Kafka :9092  →  Notification Service :5001  →  Mailpit :1025</w:t>
        <w:br/>
      </w:r>
    </w:p>
    <w:p>
      <w:pPr>
        <w:pStyle w:val="Heading2"/>
      </w:pPr>
      <w:r>
        <w:t>Deployment profiles</w:t>
      </w:r>
    </w:p>
    <w:p>
      <w:r>
        <w:t>Docker Compose is the canonical professor workflow. Kubernetes resources cover deployments, services, configuration, secret references and horizontal pod autoscaling. Cloud deployment remains provider-neutral; Azure for Students is a compatible future target but is not required to grade the project.</w:t>
      </w:r>
    </w:p>
    <w:p>
      <w:r>
        <w:br w:type="page"/>
      </w:r>
    </w:p>
    <w:p>
      <w:r>
        <w:rPr>
          <w:b/>
          <w:color w:val="D4A72C"/>
          <w:sz w:val="18"/>
        </w:rPr>
        <w:t>04 • DESIGN</w:t>
      </w:r>
    </w:p>
    <w:p>
      <w:pPr>
        <w:pStyle w:val="Heading1"/>
      </w:pPr>
      <w:r>
        <w:t>Domain and data model</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0F766E"/>
          </w:tcPr>
          <w:p>
            <w:r/>
            <w:r>
              <w:rPr>
                <w:rFonts w:ascii="Aptos" w:hAnsi="Aptos"/>
                <w:b/>
                <w:color w:val="FFFFFF"/>
                <w:sz w:val="18"/>
              </w:rPr>
              <w:t>Aggregate / table</w:t>
            </w:r>
          </w:p>
        </w:tc>
        <w:tc>
          <w:tcPr>
            <w:tcW w:type="dxa" w:w="3312"/>
            <w:vAlign w:val="center"/>
            <w:shd w:fill="0F766E"/>
          </w:tcPr>
          <w:p>
            <w:r/>
            <w:r>
              <w:rPr>
                <w:rFonts w:ascii="Aptos" w:hAnsi="Aptos"/>
                <w:b/>
                <w:color w:val="FFFFFF"/>
                <w:sz w:val="18"/>
              </w:rPr>
              <w:t>Key fields</w:t>
            </w:r>
          </w:p>
        </w:tc>
        <w:tc>
          <w:tcPr>
            <w:tcW w:type="dxa" w:w="3960"/>
            <w:vAlign w:val="center"/>
            <w:shd w:fill="0F766E"/>
          </w:tcPr>
          <w:p>
            <w:r/>
            <w:r>
              <w:rPr>
                <w:rFonts w:ascii="Aptos" w:hAnsi="Aptos"/>
                <w:b/>
                <w:color w:val="FFFFFF"/>
                <w:sz w:val="18"/>
              </w:rPr>
              <w:t>Purpose</w:t>
            </w:r>
          </w:p>
        </w:tc>
      </w:tr>
      <w:tr>
        <w:tc>
          <w:tcPr>
            <w:tcW w:type="dxa" w:w="2232"/>
            <w:vAlign w:val="center"/>
          </w:tcPr>
          <w:p>
            <w:r/>
            <w:r>
              <w:rPr>
                <w:rFonts w:ascii="Aptos" w:hAnsi="Aptos"/>
                <w:b w:val="0"/>
                <w:color w:val="132238"/>
                <w:sz w:val="17"/>
              </w:rPr>
              <w:t>users</w:t>
            </w:r>
          </w:p>
        </w:tc>
        <w:tc>
          <w:tcPr>
            <w:tcW w:type="dxa" w:w="3312"/>
            <w:vAlign w:val="center"/>
          </w:tcPr>
          <w:p>
            <w:r/>
            <w:r>
              <w:rPr>
                <w:rFonts w:ascii="Aptos" w:hAnsi="Aptos"/>
                <w:b w:val="0"/>
                <w:color w:val="132238"/>
                <w:sz w:val="17"/>
              </w:rPr>
              <w:t>username, password_hash, role</w:t>
            </w:r>
          </w:p>
        </w:tc>
        <w:tc>
          <w:tcPr>
            <w:tcW w:type="dxa" w:w="3960"/>
            <w:vAlign w:val="center"/>
          </w:tcPr>
          <w:p>
            <w:r/>
            <w:r>
              <w:rPr>
                <w:rFonts w:ascii="Aptos" w:hAnsi="Aptos"/>
                <w:b w:val="0"/>
                <w:color w:val="132238"/>
                <w:sz w:val="17"/>
              </w:rPr>
              <w:t>Authentication and authorization</w:t>
            </w:r>
          </w:p>
        </w:tc>
      </w:tr>
      <w:tr>
        <w:tc>
          <w:tcPr>
            <w:tcW w:type="dxa" w:w="2232"/>
            <w:vAlign w:val="center"/>
            <w:shd w:fill="E8F3F1"/>
          </w:tcPr>
          <w:p>
            <w:r/>
            <w:r>
              <w:rPr>
                <w:rFonts w:ascii="Aptos" w:hAnsi="Aptos"/>
                <w:b w:val="0"/>
                <w:color w:val="132238"/>
                <w:sz w:val="17"/>
              </w:rPr>
              <w:t>customer_profile</w:t>
            </w:r>
          </w:p>
        </w:tc>
        <w:tc>
          <w:tcPr>
            <w:tcW w:type="dxa" w:w="3312"/>
            <w:vAlign w:val="center"/>
            <w:shd w:fill="E8F3F1"/>
          </w:tcPr>
          <w:p>
            <w:r/>
            <w:r>
              <w:rPr>
                <w:rFonts w:ascii="Aptos" w:hAnsi="Aptos"/>
                <w:b w:val="0"/>
                <w:color w:val="132238"/>
                <w:sz w:val="17"/>
              </w:rPr>
              <w:t>customer_id, user_id, category</w:t>
            </w:r>
          </w:p>
        </w:tc>
        <w:tc>
          <w:tcPr>
            <w:tcW w:type="dxa" w:w="3960"/>
            <w:vAlign w:val="center"/>
            <w:shd w:fill="E8F3F1"/>
          </w:tcPr>
          <w:p>
            <w:r/>
            <w:r>
              <w:rPr>
                <w:rFonts w:ascii="Aptos" w:hAnsi="Aptos"/>
                <w:b w:val="0"/>
                <w:color w:val="132238"/>
                <w:sz w:val="17"/>
              </w:rPr>
              <w:t>Customer identity and rate categories</w:t>
            </w:r>
          </w:p>
        </w:tc>
      </w:tr>
      <w:tr>
        <w:tc>
          <w:tcPr>
            <w:tcW w:type="dxa" w:w="2232"/>
            <w:vAlign w:val="center"/>
          </w:tcPr>
          <w:p>
            <w:r/>
            <w:r>
              <w:rPr>
                <w:rFonts w:ascii="Aptos" w:hAnsi="Aptos"/>
                <w:b w:val="0"/>
                <w:color w:val="132238"/>
                <w:sz w:val="17"/>
              </w:rPr>
              <w:t>products</w:t>
            </w:r>
          </w:p>
        </w:tc>
        <w:tc>
          <w:tcPr>
            <w:tcW w:type="dxa" w:w="3312"/>
            <w:vAlign w:val="center"/>
          </w:tcPr>
          <w:p>
            <w:r/>
            <w:r>
              <w:rPr>
                <w:rFonts w:ascii="Aptos" w:hAnsi="Aptos"/>
                <w:b w:val="0"/>
                <w:color w:val="132238"/>
                <w:sz w:val="17"/>
              </w:rPr>
              <w:t>code, currency, term/rate limits</w:t>
            </w:r>
          </w:p>
        </w:tc>
        <w:tc>
          <w:tcPr>
            <w:tcW w:type="dxa" w:w="3960"/>
            <w:vAlign w:val="center"/>
          </w:tcPr>
          <w:p>
            <w:r/>
            <w:r>
              <w:rPr>
                <w:rFonts w:ascii="Aptos" w:hAnsi="Aptos"/>
                <w:b w:val="0"/>
                <w:color w:val="132238"/>
                <w:sz w:val="17"/>
              </w:rPr>
              <w:t>Versionable FD product catalogue</w:t>
            </w:r>
          </w:p>
        </w:tc>
      </w:tr>
      <w:tr>
        <w:tc>
          <w:tcPr>
            <w:tcW w:type="dxa" w:w="2232"/>
            <w:vAlign w:val="center"/>
            <w:shd w:fill="E8F3F1"/>
          </w:tcPr>
          <w:p>
            <w:r/>
            <w:r>
              <w:rPr>
                <w:rFonts w:ascii="Aptos" w:hAnsi="Aptos"/>
                <w:b w:val="0"/>
                <w:color w:val="132238"/>
                <w:sz w:val="17"/>
              </w:rPr>
              <w:t>fd_accounts</w:t>
            </w:r>
          </w:p>
        </w:tc>
        <w:tc>
          <w:tcPr>
            <w:tcW w:type="dxa" w:w="3312"/>
            <w:vAlign w:val="center"/>
            <w:shd w:fill="E8F3F1"/>
          </w:tcPr>
          <w:p>
            <w:r/>
            <w:r>
              <w:rPr>
                <w:rFonts w:ascii="Aptos" w:hAnsi="Aptos"/>
                <w:b w:val="0"/>
                <w:color w:val="132238"/>
                <w:sz w:val="17"/>
              </w:rPr>
              <w:t>account_no, principal, rate, maturity</w:t>
            </w:r>
          </w:p>
        </w:tc>
        <w:tc>
          <w:tcPr>
            <w:tcW w:type="dxa" w:w="3960"/>
            <w:vAlign w:val="center"/>
            <w:shd w:fill="E8F3F1"/>
          </w:tcPr>
          <w:p>
            <w:r/>
            <w:r>
              <w:rPr>
                <w:rFonts w:ascii="Aptos" w:hAnsi="Aptos"/>
                <w:b w:val="0"/>
                <w:color w:val="132238"/>
                <w:sz w:val="17"/>
              </w:rPr>
              <w:t>FD aggregate and lifecycle state</w:t>
            </w:r>
          </w:p>
        </w:tc>
      </w:tr>
      <w:tr>
        <w:tc>
          <w:tcPr>
            <w:tcW w:type="dxa" w:w="2232"/>
            <w:vAlign w:val="center"/>
          </w:tcPr>
          <w:p>
            <w:r/>
            <w:r>
              <w:rPr>
                <w:rFonts w:ascii="Aptos" w:hAnsi="Aptos"/>
                <w:b w:val="0"/>
                <w:color w:val="132238"/>
                <w:sz w:val="17"/>
              </w:rPr>
              <w:t>fd_transactions</w:t>
            </w:r>
          </w:p>
        </w:tc>
        <w:tc>
          <w:tcPr>
            <w:tcW w:type="dxa" w:w="3312"/>
            <w:vAlign w:val="center"/>
          </w:tcPr>
          <w:p>
            <w:r/>
            <w:r>
              <w:rPr>
                <w:rFonts w:ascii="Aptos" w:hAnsi="Aptos"/>
                <w:b w:val="0"/>
                <w:color w:val="132238"/>
                <w:sz w:val="17"/>
              </w:rPr>
              <w:t>type, amount, currency, GL legs</w:t>
            </w:r>
          </w:p>
        </w:tc>
        <w:tc>
          <w:tcPr>
            <w:tcW w:type="dxa" w:w="3960"/>
            <w:vAlign w:val="center"/>
          </w:tcPr>
          <w:p>
            <w:r/>
            <w:r>
              <w:rPr>
                <w:rFonts w:ascii="Aptos" w:hAnsi="Aptos"/>
                <w:b w:val="0"/>
                <w:color w:val="132238"/>
                <w:sz w:val="17"/>
              </w:rPr>
              <w:t>Immutable financial audit trail</w:t>
            </w:r>
          </w:p>
        </w:tc>
      </w:tr>
      <w:tr>
        <w:tc>
          <w:tcPr>
            <w:tcW w:type="dxa" w:w="2232"/>
            <w:vAlign w:val="center"/>
            <w:shd w:fill="E8F3F1"/>
          </w:tcPr>
          <w:p>
            <w:r/>
            <w:r>
              <w:rPr>
                <w:rFonts w:ascii="Aptos" w:hAnsi="Aptos"/>
                <w:b w:val="0"/>
                <w:color w:val="132238"/>
                <w:sz w:val="17"/>
              </w:rPr>
              <w:t>fd_interest_transactions</w:t>
            </w:r>
          </w:p>
        </w:tc>
        <w:tc>
          <w:tcPr>
            <w:tcW w:type="dxa" w:w="3312"/>
            <w:vAlign w:val="center"/>
            <w:shd w:fill="E8F3F1"/>
          </w:tcPr>
          <w:p>
            <w:r/>
            <w:r>
              <w:rPr>
                <w:rFonts w:ascii="Aptos" w:hAnsi="Aptos"/>
                <w:b w:val="0"/>
                <w:color w:val="132238"/>
                <w:sz w:val="17"/>
              </w:rPr>
              <w:t>date, interest, cumulative</w:t>
            </w:r>
          </w:p>
        </w:tc>
        <w:tc>
          <w:tcPr>
            <w:tcW w:type="dxa" w:w="3960"/>
            <w:vAlign w:val="center"/>
            <w:shd w:fill="E8F3F1"/>
          </w:tcPr>
          <w:p>
            <w:r/>
            <w:r>
              <w:rPr>
                <w:rFonts w:ascii="Aptos" w:hAnsi="Aptos"/>
                <w:b w:val="0"/>
                <w:color w:val="132238"/>
                <w:sz w:val="17"/>
              </w:rPr>
              <w:t>Accrual audit trail</w:t>
            </w:r>
          </w:p>
        </w:tc>
      </w:tr>
      <w:tr>
        <w:tc>
          <w:tcPr>
            <w:tcW w:type="dxa" w:w="2232"/>
            <w:vAlign w:val="center"/>
          </w:tcPr>
          <w:p>
            <w:r/>
            <w:r>
              <w:rPr>
                <w:rFonts w:ascii="Aptos" w:hAnsi="Aptos"/>
                <w:b w:val="0"/>
                <w:color w:val="132238"/>
                <w:sz w:val="17"/>
              </w:rPr>
              <w:t>fd_statements</w:t>
            </w:r>
          </w:p>
        </w:tc>
        <w:tc>
          <w:tcPr>
            <w:tcW w:type="dxa" w:w="3312"/>
            <w:vAlign w:val="center"/>
          </w:tcPr>
          <w:p>
            <w:r/>
            <w:r>
              <w:rPr>
                <w:rFonts w:ascii="Aptos" w:hAnsi="Aptos"/>
                <w:b w:val="0"/>
                <w:color w:val="132238"/>
                <w:sz w:val="17"/>
              </w:rPr>
              <w:t>opening, credit, closing</w:t>
            </w:r>
          </w:p>
        </w:tc>
        <w:tc>
          <w:tcPr>
            <w:tcW w:type="dxa" w:w="3960"/>
            <w:vAlign w:val="center"/>
          </w:tcPr>
          <w:p>
            <w:r/>
            <w:r>
              <w:rPr>
                <w:rFonts w:ascii="Aptos" w:hAnsi="Aptos"/>
                <w:b w:val="0"/>
                <w:color w:val="132238"/>
                <w:sz w:val="17"/>
              </w:rPr>
              <w:t>Periodic customer reporting</w:t>
            </w:r>
          </w:p>
        </w:tc>
      </w:tr>
      <w:tr>
        <w:tc>
          <w:tcPr>
            <w:tcW w:type="dxa" w:w="2232"/>
            <w:vAlign w:val="center"/>
            <w:shd w:fill="E8F3F1"/>
          </w:tcPr>
          <w:p>
            <w:r/>
            <w:r>
              <w:rPr>
                <w:rFonts w:ascii="Aptos" w:hAnsi="Aptos"/>
                <w:b w:val="0"/>
                <w:color w:val="132238"/>
                <w:sz w:val="17"/>
              </w:rPr>
              <w:t>notification_log</w:t>
            </w:r>
          </w:p>
        </w:tc>
        <w:tc>
          <w:tcPr>
            <w:tcW w:type="dxa" w:w="3312"/>
            <w:vAlign w:val="center"/>
            <w:shd w:fill="E8F3F1"/>
          </w:tcPr>
          <w:p>
            <w:r/>
            <w:r>
              <w:rPr>
                <w:rFonts w:ascii="Aptos" w:hAnsi="Aptos"/>
                <w:b w:val="0"/>
                <w:color w:val="132238"/>
                <w:sz w:val="17"/>
              </w:rPr>
              <w:t>event, channel, status, body</w:t>
            </w:r>
          </w:p>
        </w:tc>
        <w:tc>
          <w:tcPr>
            <w:tcW w:type="dxa" w:w="3960"/>
            <w:vAlign w:val="center"/>
            <w:shd w:fill="E8F3F1"/>
          </w:tcPr>
          <w:p>
            <w:r/>
            <w:r>
              <w:rPr>
                <w:rFonts w:ascii="Aptos" w:hAnsi="Aptos"/>
                <w:b w:val="0"/>
                <w:color w:val="132238"/>
                <w:sz w:val="17"/>
              </w:rPr>
              <w:t>Delivery evidence and retries</w:t>
            </w:r>
          </w:p>
        </w:tc>
      </w:tr>
    </w:tbl>
    <w:p/>
    <w:p>
      <w:pPr>
        <w:pStyle w:val="Heading2"/>
      </w:pPr>
      <w:r>
        <w:t>Integrity choices</w:t>
      </w:r>
    </w:p>
    <w:p>
      <w:pPr>
        <w:pStyle w:val="ListBullet"/>
      </w:pPr>
      <w:r>
        <w:t>Flyway migrations provide deterministic schema evolution.</w:t>
      </w:r>
    </w:p>
    <w:p>
      <w:pPr>
        <w:pStyle w:val="ListBullet"/>
      </w:pPr>
      <w:r>
        <w:t>BigDecimal and DECIMAL columns prevent floating-point money errors.</w:t>
      </w:r>
    </w:p>
    <w:p>
      <w:pPr>
        <w:pStyle w:val="ListBullet"/>
      </w:pPr>
      <w:r>
        <w:t>Account numbers are branch-prefixed and sequence-backed.</w:t>
      </w:r>
    </w:p>
    <w:p>
      <w:pPr>
        <w:pStyle w:val="ListBullet"/>
      </w:pPr>
      <w:r>
        <w:t>UUIDs provide external traceability while business account numbers remain readable.</w:t>
      </w:r>
    </w:p>
    <w:p>
      <w:pPr>
        <w:pStyle w:val="ListBullet"/>
      </w:pPr>
      <w:r>
        <w:t>Transactions and notification records preserve lifecycle evidence.</w:t>
      </w:r>
    </w:p>
    <w:p>
      <w:r>
        <w:br w:type="page"/>
      </w:r>
    </w:p>
    <w:p>
      <w:r>
        <w:rPr>
          <w:b/>
          <w:color w:val="D4A72C"/>
          <w:sz w:val="18"/>
        </w:rPr>
        <w:t>05 • BUSINESS LOGIC</w:t>
      </w:r>
    </w:p>
    <w:p>
      <w:pPr>
        <w:pStyle w:val="Heading1"/>
      </w:pPr>
      <w:r>
        <w:t>Lifecycle workflows</w:t>
      </w:r>
    </w:p>
    <w:tbl>
      <w:tblPr>
        <w:tblStyle w:val="TableGrid"/>
        <w:tblW w:type="auto" w:w="0"/>
        <w:jc w:val="center"/>
        <w:tblLook w:firstColumn="1" w:firstRow="1" w:lastColumn="0" w:lastRow="0" w:noHBand="0" w:noVBand="1" w:val="04A0"/>
      </w:tblPr>
      <w:tblGrid>
        <w:gridCol w:w="3331"/>
        <w:gridCol w:w="3331"/>
        <w:gridCol w:w="3331"/>
      </w:tblGrid>
      <w:tr>
        <w:tc>
          <w:tcPr>
            <w:tcW w:type="dxa" w:w="1656"/>
            <w:vAlign w:val="center"/>
            <w:shd w:fill="0F766E"/>
          </w:tcPr>
          <w:p>
            <w:r/>
            <w:r>
              <w:rPr>
                <w:rFonts w:ascii="Aptos" w:hAnsi="Aptos"/>
                <w:b/>
                <w:color w:val="FFFFFF"/>
                <w:sz w:val="18"/>
              </w:rPr>
              <w:t>Workflow</w:t>
            </w:r>
          </w:p>
        </w:tc>
        <w:tc>
          <w:tcPr>
            <w:tcW w:type="dxa" w:w="6048"/>
            <w:vAlign w:val="center"/>
            <w:shd w:fill="0F766E"/>
          </w:tcPr>
          <w:p>
            <w:r/>
            <w:r>
              <w:rPr>
                <w:rFonts w:ascii="Aptos" w:hAnsi="Aptos"/>
                <w:b/>
                <w:color w:val="FFFFFF"/>
                <w:sz w:val="18"/>
              </w:rPr>
              <w:t>Validation and processing</w:t>
            </w:r>
          </w:p>
        </w:tc>
        <w:tc>
          <w:tcPr>
            <w:tcW w:type="dxa" w:w="2088"/>
            <w:vAlign w:val="center"/>
            <w:shd w:fill="0F766E"/>
          </w:tcPr>
          <w:p>
            <w:r/>
            <w:r>
              <w:rPr>
                <w:rFonts w:ascii="Aptos" w:hAnsi="Aptos"/>
                <w:b/>
                <w:color w:val="FFFFFF"/>
                <w:sz w:val="18"/>
              </w:rPr>
              <w:t>Result</w:t>
            </w:r>
          </w:p>
        </w:tc>
      </w:tr>
      <w:tr>
        <w:tc>
          <w:tcPr>
            <w:tcW w:type="dxa" w:w="1656"/>
            <w:vAlign w:val="center"/>
          </w:tcPr>
          <w:p>
            <w:r/>
            <w:r>
              <w:rPr>
                <w:rFonts w:ascii="Aptos" w:hAnsi="Aptos"/>
                <w:b w:val="0"/>
                <w:color w:val="132238"/>
                <w:sz w:val="17"/>
              </w:rPr>
              <w:t>Open FD</w:t>
            </w:r>
          </w:p>
        </w:tc>
        <w:tc>
          <w:tcPr>
            <w:tcW w:type="dxa" w:w="6048"/>
            <w:vAlign w:val="center"/>
          </w:tcPr>
          <w:p>
            <w:r/>
            <w:r>
              <w:rPr>
                <w:rFonts w:ascii="Aptos" w:hAnsi="Aptos"/>
                <w:b w:val="0"/>
                <w:color w:val="132238"/>
                <w:sz w:val="17"/>
              </w:rPr>
              <w:t>Officer/Admin validates customer, product, term, currency, scale and minimum</w:t>
            </w:r>
          </w:p>
        </w:tc>
        <w:tc>
          <w:tcPr>
            <w:tcW w:type="dxa" w:w="2088"/>
            <w:vAlign w:val="center"/>
          </w:tcPr>
          <w:p>
            <w:r/>
            <w:r>
              <w:rPr>
                <w:rFonts w:ascii="Aptos" w:hAnsi="Aptos"/>
                <w:b w:val="0"/>
                <w:color w:val="132238"/>
                <w:sz w:val="17"/>
              </w:rPr>
              <w:t>ACTIVE account + DEPOSIT transaction + email</w:t>
            </w:r>
          </w:p>
        </w:tc>
      </w:tr>
      <w:tr>
        <w:tc>
          <w:tcPr>
            <w:tcW w:type="dxa" w:w="1656"/>
            <w:vAlign w:val="center"/>
            <w:shd w:fill="E8F3F1"/>
          </w:tcPr>
          <w:p>
            <w:r/>
            <w:r>
              <w:rPr>
                <w:rFonts w:ascii="Aptos" w:hAnsi="Aptos"/>
                <w:b w:val="0"/>
                <w:color w:val="132238"/>
                <w:sz w:val="17"/>
              </w:rPr>
              <w:t>Daily accrual</w:t>
            </w:r>
          </w:p>
        </w:tc>
        <w:tc>
          <w:tcPr>
            <w:tcW w:type="dxa" w:w="6048"/>
            <w:vAlign w:val="center"/>
            <w:shd w:fill="E8F3F1"/>
          </w:tcPr>
          <w:p>
            <w:r/>
            <w:r>
              <w:rPr>
                <w:rFonts w:ascii="Aptos" w:hAnsi="Aptos"/>
                <w:b w:val="0"/>
                <w:color w:val="132238"/>
                <w:sz w:val="17"/>
              </w:rPr>
              <w:t>Scheduler loads ACTIVE accounts and calculates per-day interest</w:t>
            </w:r>
          </w:p>
        </w:tc>
        <w:tc>
          <w:tcPr>
            <w:tcW w:type="dxa" w:w="2088"/>
            <w:vAlign w:val="center"/>
            <w:shd w:fill="E8F3F1"/>
          </w:tcPr>
          <w:p>
            <w:r/>
            <w:r>
              <w:rPr>
                <w:rFonts w:ascii="Aptos" w:hAnsi="Aptos"/>
                <w:b w:val="0"/>
                <w:color w:val="132238"/>
                <w:sz w:val="17"/>
              </w:rPr>
              <w:t>Accrual row + account accrued balance</w:t>
            </w:r>
          </w:p>
        </w:tc>
      </w:tr>
      <w:tr>
        <w:tc>
          <w:tcPr>
            <w:tcW w:type="dxa" w:w="1656"/>
            <w:vAlign w:val="center"/>
          </w:tcPr>
          <w:p>
            <w:r/>
            <w:r>
              <w:rPr>
                <w:rFonts w:ascii="Aptos" w:hAnsi="Aptos"/>
                <w:b w:val="0"/>
                <w:color w:val="132238"/>
                <w:sz w:val="17"/>
              </w:rPr>
              <w:t>Capitalization</w:t>
            </w:r>
          </w:p>
        </w:tc>
        <w:tc>
          <w:tcPr>
            <w:tcW w:type="dxa" w:w="6048"/>
            <w:vAlign w:val="center"/>
          </w:tcPr>
          <w:p>
            <w:r/>
            <w:r>
              <w:rPr>
                <w:rFonts w:ascii="Aptos" w:hAnsi="Aptos"/>
                <w:b w:val="0"/>
                <w:color w:val="132238"/>
                <w:sz w:val="17"/>
              </w:rPr>
              <w:t>Frequency boundary reached</w:t>
            </w:r>
          </w:p>
        </w:tc>
        <w:tc>
          <w:tcPr>
            <w:tcW w:type="dxa" w:w="2088"/>
            <w:vAlign w:val="center"/>
          </w:tcPr>
          <w:p>
            <w:r/>
            <w:r>
              <w:rPr>
                <w:rFonts w:ascii="Aptos" w:hAnsi="Aptos"/>
                <w:b w:val="0"/>
                <w:color w:val="132238"/>
                <w:sz w:val="17"/>
              </w:rPr>
              <w:t>Interest becomes principal + transaction</w:t>
            </w:r>
          </w:p>
        </w:tc>
      </w:tr>
      <w:tr>
        <w:tc>
          <w:tcPr>
            <w:tcW w:type="dxa" w:w="1656"/>
            <w:vAlign w:val="center"/>
            <w:shd w:fill="E8F3F1"/>
          </w:tcPr>
          <w:p>
            <w:r/>
            <w:r>
              <w:rPr>
                <w:rFonts w:ascii="Aptos" w:hAnsi="Aptos"/>
                <w:b w:val="0"/>
                <w:color w:val="132238"/>
                <w:sz w:val="17"/>
              </w:rPr>
              <w:t>Maturity</w:t>
            </w:r>
          </w:p>
        </w:tc>
        <w:tc>
          <w:tcPr>
            <w:tcW w:type="dxa" w:w="6048"/>
            <w:vAlign w:val="center"/>
            <w:shd w:fill="E8F3F1"/>
          </w:tcPr>
          <w:p>
            <w:r/>
            <w:r>
              <w:rPr>
                <w:rFonts w:ascii="Aptos" w:hAnsi="Aptos"/>
                <w:b w:val="0"/>
                <w:color w:val="132238"/>
                <w:sz w:val="17"/>
              </w:rPr>
              <w:t>Business date reaches maturity date</w:t>
            </w:r>
          </w:p>
        </w:tc>
        <w:tc>
          <w:tcPr>
            <w:tcW w:type="dxa" w:w="2088"/>
            <w:vAlign w:val="center"/>
            <w:shd w:fill="E8F3F1"/>
          </w:tcPr>
          <w:p>
            <w:r/>
            <w:r>
              <w:rPr>
                <w:rFonts w:ascii="Aptos" w:hAnsi="Aptos"/>
                <w:b w:val="0"/>
                <w:color w:val="132238"/>
                <w:sz w:val="17"/>
              </w:rPr>
              <w:t>Payout transaction + CLOSED state + Kafka email event</w:t>
            </w:r>
          </w:p>
        </w:tc>
      </w:tr>
      <w:tr>
        <w:tc>
          <w:tcPr>
            <w:tcW w:type="dxa" w:w="1656"/>
            <w:vAlign w:val="center"/>
          </w:tcPr>
          <w:p>
            <w:r/>
            <w:r>
              <w:rPr>
                <w:rFonts w:ascii="Aptos" w:hAnsi="Aptos"/>
                <w:b w:val="0"/>
                <w:color w:val="132238"/>
                <w:sz w:val="17"/>
              </w:rPr>
              <w:t>Premature close</w:t>
            </w:r>
          </w:p>
        </w:tc>
        <w:tc>
          <w:tcPr>
            <w:tcW w:type="dxa" w:w="6048"/>
            <w:vAlign w:val="center"/>
          </w:tcPr>
          <w:p>
            <w:r/>
            <w:r>
              <w:rPr>
                <w:rFonts w:ascii="Aptos" w:hAnsi="Aptos"/>
                <w:b w:val="0"/>
                <w:color w:val="132238"/>
                <w:sz w:val="17"/>
              </w:rPr>
              <w:t>Customer ownership/role, ACTIVE state and penalty rules</w:t>
            </w:r>
          </w:p>
        </w:tc>
        <w:tc>
          <w:tcPr>
            <w:tcW w:type="dxa" w:w="2088"/>
            <w:vAlign w:val="center"/>
          </w:tcPr>
          <w:p>
            <w:r/>
            <w:r>
              <w:rPr>
                <w:rFonts w:ascii="Aptos" w:hAnsi="Aptos"/>
                <w:b w:val="0"/>
                <w:color w:val="132238"/>
                <w:sz w:val="17"/>
              </w:rPr>
              <w:t>Withdrawal + penalty audit + CLOSED state</w:t>
            </w:r>
          </w:p>
        </w:tc>
      </w:tr>
      <w:tr>
        <w:tc>
          <w:tcPr>
            <w:tcW w:type="dxa" w:w="1656"/>
            <w:vAlign w:val="center"/>
            <w:shd w:fill="E8F3F1"/>
          </w:tcPr>
          <w:p>
            <w:r/>
            <w:r>
              <w:rPr>
                <w:rFonts w:ascii="Aptos" w:hAnsi="Aptos"/>
                <w:b w:val="0"/>
                <w:color w:val="132238"/>
                <w:sz w:val="17"/>
              </w:rPr>
              <w:t>Statement</w:t>
            </w:r>
          </w:p>
        </w:tc>
        <w:tc>
          <w:tcPr>
            <w:tcW w:type="dxa" w:w="6048"/>
            <w:vAlign w:val="center"/>
            <w:shd w:fill="E8F3F1"/>
          </w:tcPr>
          <w:p>
            <w:r/>
            <w:r>
              <w:rPr>
                <w:rFonts w:ascii="Aptos" w:hAnsi="Aptos"/>
                <w:b w:val="0"/>
                <w:color w:val="132238"/>
                <w:sz w:val="17"/>
              </w:rPr>
              <w:t>Daily/admin trigger computes opening, credit and closing</w:t>
            </w:r>
          </w:p>
        </w:tc>
        <w:tc>
          <w:tcPr>
            <w:tcW w:type="dxa" w:w="2088"/>
            <w:vAlign w:val="center"/>
            <w:shd w:fill="E8F3F1"/>
          </w:tcPr>
          <w:p>
            <w:r/>
            <w:r>
              <w:rPr>
                <w:rFonts w:ascii="Aptos" w:hAnsi="Aptos"/>
                <w:b w:val="0"/>
                <w:color w:val="132238"/>
                <w:sz w:val="17"/>
              </w:rPr>
              <w:t>Idempotent statement retrievable by account</w:t>
            </w:r>
          </w:p>
        </w:tc>
      </w:tr>
    </w:tbl>
    <w:p/>
    <w:p>
      <w:pPr>
        <w:pStyle w:val="Heading2"/>
      </w:pPr>
      <w:r>
        <w:t>Deterministic lab testing</w:t>
      </w:r>
    </w:p>
    <w:p>
      <w:r>
        <w:t>The time-travel endpoint advances the logical business date and invokes lifecycle jobs without changing the computer clock. This makes interest, maturity and statement scenarios repeatable during a short demonstration.</w:t>
      </w:r>
    </w:p>
    <w:p>
      <w:r>
        <w:br w:type="page"/>
      </w:r>
    </w:p>
    <w:p>
      <w:r>
        <w:rPr>
          <w:b/>
          <w:color w:val="D4A72C"/>
          <w:sz w:val="18"/>
        </w:rPr>
        <w:t>06 • CONTRACTS</w:t>
      </w:r>
    </w:p>
    <w:p>
      <w:pPr>
        <w:pStyle w:val="Heading1"/>
      </w:pPr>
      <w:r>
        <w:t>API surface</w:t>
      </w:r>
    </w:p>
    <w:tbl>
      <w:tblPr>
        <w:tblStyle w:val="TableGrid"/>
        <w:tblW w:type="auto" w:w="0"/>
        <w:jc w:val="center"/>
        <w:tblLook w:firstColumn="1" w:firstRow="1" w:lastColumn="0" w:lastRow="0" w:noHBand="0" w:noVBand="1" w:val="04A0"/>
      </w:tblPr>
      <w:tblGrid>
        <w:gridCol w:w="3331"/>
        <w:gridCol w:w="3331"/>
        <w:gridCol w:w="3331"/>
      </w:tblGrid>
      <w:tr>
        <w:tc>
          <w:tcPr>
            <w:tcW w:type="dxa" w:w="1944"/>
            <w:vAlign w:val="center"/>
            <w:shd w:fill="0F766E"/>
          </w:tcPr>
          <w:p>
            <w:r/>
            <w:r>
              <w:rPr>
                <w:rFonts w:ascii="Aptos" w:hAnsi="Aptos"/>
                <w:b/>
                <w:color w:val="FFFFFF"/>
                <w:sz w:val="18"/>
              </w:rPr>
              <w:t>Capability</w:t>
            </w:r>
          </w:p>
        </w:tc>
        <w:tc>
          <w:tcPr>
            <w:tcW w:type="dxa" w:w="5328"/>
            <w:vAlign w:val="center"/>
            <w:shd w:fill="0F766E"/>
          </w:tcPr>
          <w:p>
            <w:r/>
            <w:r>
              <w:rPr>
                <w:rFonts w:ascii="Aptos" w:hAnsi="Aptos"/>
                <w:b/>
                <w:color w:val="FFFFFF"/>
                <w:sz w:val="18"/>
              </w:rPr>
              <w:t>Representative endpoint</w:t>
            </w:r>
          </w:p>
        </w:tc>
        <w:tc>
          <w:tcPr>
            <w:tcW w:type="dxa" w:w="2160"/>
            <w:vAlign w:val="center"/>
            <w:shd w:fill="0F766E"/>
          </w:tcPr>
          <w:p>
            <w:r/>
            <w:r>
              <w:rPr>
                <w:rFonts w:ascii="Aptos" w:hAnsi="Aptos"/>
                <w:b/>
                <w:color w:val="FFFFFF"/>
                <w:sz w:val="18"/>
              </w:rPr>
              <w:t>Access</w:t>
            </w:r>
          </w:p>
        </w:tc>
      </w:tr>
      <w:tr>
        <w:tc>
          <w:tcPr>
            <w:tcW w:type="dxa" w:w="1944"/>
            <w:vAlign w:val="center"/>
          </w:tcPr>
          <w:p>
            <w:r/>
            <w:r>
              <w:rPr>
                <w:rFonts w:ascii="Aptos" w:hAnsi="Aptos"/>
                <w:b w:val="0"/>
                <w:color w:val="132238"/>
                <w:sz w:val="17"/>
              </w:rPr>
              <w:t>Authentication</w:t>
            </w:r>
          </w:p>
        </w:tc>
        <w:tc>
          <w:tcPr>
            <w:tcW w:type="dxa" w:w="5328"/>
            <w:vAlign w:val="center"/>
          </w:tcPr>
          <w:p>
            <w:r/>
            <w:r>
              <w:rPr>
                <w:rFonts w:ascii="Aptos" w:hAnsi="Aptos"/>
                <w:b w:val="0"/>
                <w:color w:val="132238"/>
                <w:sz w:val="17"/>
              </w:rPr>
              <w:t>POST /api/auth/login</w:t>
            </w:r>
          </w:p>
        </w:tc>
        <w:tc>
          <w:tcPr>
            <w:tcW w:type="dxa" w:w="2160"/>
            <w:vAlign w:val="center"/>
          </w:tcPr>
          <w:p>
            <w:r/>
            <w:r>
              <w:rPr>
                <w:rFonts w:ascii="Aptos" w:hAnsi="Aptos"/>
                <w:b w:val="0"/>
                <w:color w:val="132238"/>
                <w:sz w:val="17"/>
              </w:rPr>
              <w:t>Public</w:t>
            </w:r>
          </w:p>
        </w:tc>
      </w:tr>
      <w:tr>
        <w:tc>
          <w:tcPr>
            <w:tcW w:type="dxa" w:w="1944"/>
            <w:vAlign w:val="center"/>
            <w:shd w:fill="E8F3F1"/>
          </w:tcPr>
          <w:p>
            <w:r/>
            <w:r>
              <w:rPr>
                <w:rFonts w:ascii="Aptos" w:hAnsi="Aptos"/>
                <w:b w:val="0"/>
                <w:color w:val="132238"/>
                <w:sz w:val="17"/>
              </w:rPr>
              <w:t>Products</w:t>
            </w:r>
          </w:p>
        </w:tc>
        <w:tc>
          <w:tcPr>
            <w:tcW w:type="dxa" w:w="5328"/>
            <w:vAlign w:val="center"/>
            <w:shd w:fill="E8F3F1"/>
          </w:tcPr>
          <w:p>
            <w:r/>
            <w:r>
              <w:rPr>
                <w:rFonts w:ascii="Aptos" w:hAnsi="Aptos"/>
                <w:b w:val="0"/>
                <w:color w:val="132238"/>
                <w:sz w:val="17"/>
              </w:rPr>
              <w:t>GET /api/product/search</w:t>
            </w:r>
          </w:p>
        </w:tc>
        <w:tc>
          <w:tcPr>
            <w:tcW w:type="dxa" w:w="2160"/>
            <w:vAlign w:val="center"/>
            <w:shd w:fill="E8F3F1"/>
          </w:tcPr>
          <w:p>
            <w:r/>
            <w:r>
              <w:rPr>
                <w:rFonts w:ascii="Aptos" w:hAnsi="Aptos"/>
                <w:b w:val="0"/>
                <w:color w:val="132238"/>
                <w:sz w:val="17"/>
              </w:rPr>
              <w:t>Authenticated</w:t>
            </w:r>
          </w:p>
        </w:tc>
      </w:tr>
      <w:tr>
        <w:tc>
          <w:tcPr>
            <w:tcW w:type="dxa" w:w="1944"/>
            <w:vAlign w:val="center"/>
          </w:tcPr>
          <w:p>
            <w:r/>
            <w:r>
              <w:rPr>
                <w:rFonts w:ascii="Aptos" w:hAnsi="Aptos"/>
                <w:b w:val="0"/>
                <w:color w:val="132238"/>
                <w:sz w:val="17"/>
              </w:rPr>
              <w:t>Calculator</w:t>
            </w:r>
          </w:p>
        </w:tc>
        <w:tc>
          <w:tcPr>
            <w:tcW w:type="dxa" w:w="5328"/>
            <w:vAlign w:val="center"/>
          </w:tcPr>
          <w:p>
            <w:r/>
            <w:r>
              <w:rPr>
                <w:rFonts w:ascii="Aptos" w:hAnsi="Aptos"/>
                <w:b w:val="0"/>
                <w:color w:val="132238"/>
                <w:sz w:val="17"/>
              </w:rPr>
              <w:t>POST /api/fd/calculate</w:t>
            </w:r>
          </w:p>
        </w:tc>
        <w:tc>
          <w:tcPr>
            <w:tcW w:type="dxa" w:w="2160"/>
            <w:vAlign w:val="center"/>
          </w:tcPr>
          <w:p>
            <w:r/>
            <w:r>
              <w:rPr>
                <w:rFonts w:ascii="Aptos" w:hAnsi="Aptos"/>
                <w:b w:val="0"/>
                <w:color w:val="132238"/>
                <w:sz w:val="17"/>
              </w:rPr>
              <w:t>Customer</w:t>
            </w:r>
          </w:p>
        </w:tc>
      </w:tr>
      <w:tr>
        <w:tc>
          <w:tcPr>
            <w:tcW w:type="dxa" w:w="1944"/>
            <w:vAlign w:val="center"/>
            <w:shd w:fill="E8F3F1"/>
          </w:tcPr>
          <w:p>
            <w:r/>
            <w:r>
              <w:rPr>
                <w:rFonts w:ascii="Aptos" w:hAnsi="Aptos"/>
                <w:b w:val="0"/>
                <w:color w:val="132238"/>
                <w:sz w:val="17"/>
              </w:rPr>
              <w:t>Create FD</w:t>
            </w:r>
          </w:p>
        </w:tc>
        <w:tc>
          <w:tcPr>
            <w:tcW w:type="dxa" w:w="5328"/>
            <w:vAlign w:val="center"/>
            <w:shd w:fill="E8F3F1"/>
          </w:tcPr>
          <w:p>
            <w:r/>
            <w:r>
              <w:rPr>
                <w:rFonts w:ascii="Aptos" w:hAnsi="Aptos"/>
                <w:b w:val="0"/>
                <w:color w:val="132238"/>
                <w:sz w:val="17"/>
              </w:rPr>
              <w:t>POST /api/fd/account/create-with-txn</w:t>
            </w:r>
          </w:p>
        </w:tc>
        <w:tc>
          <w:tcPr>
            <w:tcW w:type="dxa" w:w="2160"/>
            <w:vAlign w:val="center"/>
            <w:shd w:fill="E8F3F1"/>
          </w:tcPr>
          <w:p>
            <w:r/>
            <w:r>
              <w:rPr>
                <w:rFonts w:ascii="Aptos" w:hAnsi="Aptos"/>
                <w:b w:val="0"/>
                <w:color w:val="132238"/>
                <w:sz w:val="17"/>
              </w:rPr>
              <w:t>Officer/Admin</w:t>
            </w:r>
          </w:p>
        </w:tc>
      </w:tr>
      <w:tr>
        <w:tc>
          <w:tcPr>
            <w:tcW w:type="dxa" w:w="1944"/>
            <w:vAlign w:val="center"/>
          </w:tcPr>
          <w:p>
            <w:r/>
            <w:r>
              <w:rPr>
                <w:rFonts w:ascii="Aptos" w:hAnsi="Aptos"/>
                <w:b w:val="0"/>
                <w:color w:val="132238"/>
                <w:sz w:val="17"/>
              </w:rPr>
              <w:t>My accounts</w:t>
            </w:r>
          </w:p>
        </w:tc>
        <w:tc>
          <w:tcPr>
            <w:tcW w:type="dxa" w:w="5328"/>
            <w:vAlign w:val="center"/>
          </w:tcPr>
          <w:p>
            <w:r/>
            <w:r>
              <w:rPr>
                <w:rFonts w:ascii="Aptos" w:hAnsi="Aptos"/>
                <w:b w:val="0"/>
                <w:color w:val="132238"/>
                <w:sz w:val="17"/>
              </w:rPr>
              <w:t>GET /api/fd/accounts/my</w:t>
            </w:r>
          </w:p>
        </w:tc>
        <w:tc>
          <w:tcPr>
            <w:tcW w:type="dxa" w:w="2160"/>
            <w:vAlign w:val="center"/>
          </w:tcPr>
          <w:p>
            <w:r/>
            <w:r>
              <w:rPr>
                <w:rFonts w:ascii="Aptos" w:hAnsi="Aptos"/>
                <w:b w:val="0"/>
                <w:color w:val="132238"/>
                <w:sz w:val="17"/>
              </w:rPr>
              <w:t>Customer</w:t>
            </w:r>
          </w:p>
        </w:tc>
      </w:tr>
      <w:tr>
        <w:tc>
          <w:tcPr>
            <w:tcW w:type="dxa" w:w="1944"/>
            <w:vAlign w:val="center"/>
            <w:shd w:fill="E8F3F1"/>
          </w:tcPr>
          <w:p>
            <w:r/>
            <w:r>
              <w:rPr>
                <w:rFonts w:ascii="Aptos" w:hAnsi="Aptos"/>
                <w:b w:val="0"/>
                <w:color w:val="132238"/>
                <w:sz w:val="17"/>
              </w:rPr>
              <w:t>Transactions</w:t>
            </w:r>
          </w:p>
        </w:tc>
        <w:tc>
          <w:tcPr>
            <w:tcW w:type="dxa" w:w="5328"/>
            <w:vAlign w:val="center"/>
            <w:shd w:fill="E8F3F1"/>
          </w:tcPr>
          <w:p>
            <w:r/>
            <w:r>
              <w:rPr>
                <w:rFonts w:ascii="Aptos" w:hAnsi="Aptos"/>
                <w:b w:val="0"/>
                <w:color w:val="132238"/>
                <w:sz w:val="17"/>
              </w:rPr>
              <w:t>GET /api/fd/account/{id}/transactions</w:t>
            </w:r>
          </w:p>
        </w:tc>
        <w:tc>
          <w:tcPr>
            <w:tcW w:type="dxa" w:w="2160"/>
            <w:vAlign w:val="center"/>
            <w:shd w:fill="E8F3F1"/>
          </w:tcPr>
          <w:p>
            <w:r/>
            <w:r>
              <w:rPr>
                <w:rFonts w:ascii="Aptos" w:hAnsi="Aptos"/>
                <w:b w:val="0"/>
                <w:color w:val="132238"/>
                <w:sz w:val="17"/>
              </w:rPr>
              <w:t>Owner/Staff</w:t>
            </w:r>
          </w:p>
        </w:tc>
      </w:tr>
      <w:tr>
        <w:tc>
          <w:tcPr>
            <w:tcW w:type="dxa" w:w="1944"/>
            <w:vAlign w:val="center"/>
          </w:tcPr>
          <w:p>
            <w:r/>
            <w:r>
              <w:rPr>
                <w:rFonts w:ascii="Aptos" w:hAnsi="Aptos"/>
                <w:b w:val="0"/>
                <w:color w:val="132238"/>
                <w:sz w:val="17"/>
              </w:rPr>
              <w:t>Withdraw</w:t>
            </w:r>
          </w:p>
        </w:tc>
        <w:tc>
          <w:tcPr>
            <w:tcW w:type="dxa" w:w="5328"/>
            <w:vAlign w:val="center"/>
          </w:tcPr>
          <w:p>
            <w:r/>
            <w:r>
              <w:rPr>
                <w:rFonts w:ascii="Aptos" w:hAnsi="Aptos"/>
                <w:b w:val="0"/>
                <w:color w:val="132238"/>
                <w:sz w:val="17"/>
              </w:rPr>
              <w:t>POST /api/fd/account/withdraw</w:t>
            </w:r>
          </w:p>
        </w:tc>
        <w:tc>
          <w:tcPr>
            <w:tcW w:type="dxa" w:w="2160"/>
            <w:vAlign w:val="center"/>
          </w:tcPr>
          <w:p>
            <w:r/>
            <w:r>
              <w:rPr>
                <w:rFonts w:ascii="Aptos" w:hAnsi="Aptos"/>
                <w:b w:val="0"/>
                <w:color w:val="132238"/>
                <w:sz w:val="17"/>
              </w:rPr>
              <w:t>Owner/Officer</w:t>
            </w:r>
          </w:p>
        </w:tc>
      </w:tr>
      <w:tr>
        <w:tc>
          <w:tcPr>
            <w:tcW w:type="dxa" w:w="1944"/>
            <w:vAlign w:val="center"/>
            <w:shd w:fill="E8F3F1"/>
          </w:tcPr>
          <w:p>
            <w:r/>
            <w:r>
              <w:rPr>
                <w:rFonts w:ascii="Aptos" w:hAnsi="Aptos"/>
                <w:b w:val="0"/>
                <w:color w:val="132238"/>
                <w:sz w:val="17"/>
              </w:rPr>
              <w:t>Batches</w:t>
            </w:r>
          </w:p>
        </w:tc>
        <w:tc>
          <w:tcPr>
            <w:tcW w:type="dxa" w:w="5328"/>
            <w:vAlign w:val="center"/>
            <w:shd w:fill="E8F3F1"/>
          </w:tcPr>
          <w:p>
            <w:r/>
            <w:r>
              <w:rPr>
                <w:rFonts w:ascii="Aptos" w:hAnsi="Aptos"/>
                <w:b w:val="0"/>
                <w:color w:val="132238"/>
                <w:sz w:val="17"/>
              </w:rPr>
              <w:t>POST /api/admin/batch/*</w:t>
            </w:r>
          </w:p>
        </w:tc>
        <w:tc>
          <w:tcPr>
            <w:tcW w:type="dxa" w:w="2160"/>
            <w:vAlign w:val="center"/>
            <w:shd w:fill="E8F3F1"/>
          </w:tcPr>
          <w:p>
            <w:r/>
            <w:r>
              <w:rPr>
                <w:rFonts w:ascii="Aptos" w:hAnsi="Aptos"/>
                <w:b w:val="0"/>
                <w:color w:val="132238"/>
                <w:sz w:val="17"/>
              </w:rPr>
              <w:t>Admin</w:t>
            </w:r>
          </w:p>
        </w:tc>
      </w:tr>
      <w:tr>
        <w:tc>
          <w:tcPr>
            <w:tcW w:type="dxa" w:w="1944"/>
            <w:vAlign w:val="center"/>
          </w:tcPr>
          <w:p>
            <w:r/>
            <w:r>
              <w:rPr>
                <w:rFonts w:ascii="Aptos" w:hAnsi="Aptos"/>
                <w:b w:val="0"/>
                <w:color w:val="132238"/>
                <w:sz w:val="17"/>
              </w:rPr>
              <w:t>Exports</w:t>
            </w:r>
          </w:p>
        </w:tc>
        <w:tc>
          <w:tcPr>
            <w:tcW w:type="dxa" w:w="5328"/>
            <w:vAlign w:val="center"/>
          </w:tcPr>
          <w:p>
            <w:r/>
            <w:r>
              <w:rPr>
                <w:rFonts w:ascii="Aptos" w:hAnsi="Aptos"/>
                <w:b w:val="0"/>
                <w:color w:val="132238"/>
                <w:sz w:val="17"/>
              </w:rPr>
              <w:t>GET /reports/fd-summary.{csv|pdf}</w:t>
            </w:r>
          </w:p>
        </w:tc>
        <w:tc>
          <w:tcPr>
            <w:tcW w:type="dxa" w:w="2160"/>
            <w:vAlign w:val="center"/>
          </w:tcPr>
          <w:p>
            <w:r/>
            <w:r>
              <w:rPr>
                <w:rFonts w:ascii="Aptos" w:hAnsi="Aptos"/>
                <w:b w:val="0"/>
                <w:color w:val="132238"/>
                <w:sz w:val="17"/>
              </w:rPr>
              <w:t>JWT via gateway</w:t>
            </w:r>
          </w:p>
        </w:tc>
      </w:tr>
    </w:tbl>
    <w:p/>
    <w:p>
      <w:r>
        <w:t>An OpenAPI file is included for FD-specific consumers. The shared Team-1 Swagger is mapped in docs/INTEGRATION.md, including differences that require confirmation from the owning groups before a live merge.</w:t>
      </w:r>
    </w:p>
    <w:p>
      <w:r>
        <w:br w:type="page"/>
      </w:r>
    </w:p>
    <w:p>
      <w:r>
        <w:rPr>
          <w:b/>
          <w:color w:val="D4A72C"/>
          <w:sz w:val="18"/>
        </w:rPr>
        <w:t>07 • CONTROLS</w:t>
      </w:r>
    </w:p>
    <w:p>
      <w:pPr>
        <w:pStyle w:val="Heading1"/>
      </w:pPr>
      <w:r>
        <w:t>Security and privacy</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0F766E"/>
          </w:tcPr>
          <w:p>
            <w:r/>
            <w:r>
              <w:rPr>
                <w:rFonts w:ascii="Aptos" w:hAnsi="Aptos"/>
                <w:b/>
                <w:color w:val="FFFFFF"/>
                <w:sz w:val="18"/>
              </w:rPr>
              <w:t>Control</w:t>
            </w:r>
          </w:p>
        </w:tc>
        <w:tc>
          <w:tcPr>
            <w:tcW w:type="dxa" w:w="7200"/>
            <w:vAlign w:val="center"/>
            <w:shd w:fill="0F766E"/>
          </w:tcPr>
          <w:p>
            <w:r/>
            <w:r>
              <w:rPr>
                <w:rFonts w:ascii="Aptos" w:hAnsi="Aptos"/>
                <w:b/>
                <w:color w:val="FFFFFF"/>
                <w:sz w:val="18"/>
              </w:rPr>
              <w:t>Implementation</w:t>
            </w:r>
          </w:p>
        </w:tc>
      </w:tr>
      <w:tr>
        <w:tc>
          <w:tcPr>
            <w:tcW w:type="dxa" w:w="2376"/>
            <w:vAlign w:val="center"/>
          </w:tcPr>
          <w:p>
            <w:r/>
            <w:r>
              <w:rPr>
                <w:rFonts w:ascii="Aptos" w:hAnsi="Aptos"/>
                <w:b w:val="0"/>
                <w:color w:val="132238"/>
                <w:sz w:val="17"/>
              </w:rPr>
              <w:t>Authentication</w:t>
            </w:r>
          </w:p>
        </w:tc>
        <w:tc>
          <w:tcPr>
            <w:tcW w:type="dxa" w:w="7200"/>
            <w:vAlign w:val="center"/>
          </w:tcPr>
          <w:p>
            <w:r/>
            <w:r>
              <w:rPr>
                <w:rFonts w:ascii="Aptos" w:hAnsi="Aptos"/>
                <w:b w:val="0"/>
                <w:color w:val="132238"/>
                <w:sz w:val="17"/>
              </w:rPr>
              <w:t>BCrypt password hashes and signed JWTs with role/customer claims</w:t>
            </w:r>
          </w:p>
        </w:tc>
      </w:tr>
      <w:tr>
        <w:tc>
          <w:tcPr>
            <w:tcW w:type="dxa" w:w="2376"/>
            <w:vAlign w:val="center"/>
            <w:shd w:fill="E8F3F1"/>
          </w:tcPr>
          <w:p>
            <w:r/>
            <w:r>
              <w:rPr>
                <w:rFonts w:ascii="Aptos" w:hAnsi="Aptos"/>
                <w:b w:val="0"/>
                <w:color w:val="132238"/>
                <w:sz w:val="17"/>
              </w:rPr>
              <w:t>Authorization</w:t>
            </w:r>
          </w:p>
        </w:tc>
        <w:tc>
          <w:tcPr>
            <w:tcW w:type="dxa" w:w="7200"/>
            <w:vAlign w:val="center"/>
            <w:shd w:fill="E8F3F1"/>
          </w:tcPr>
          <w:p>
            <w:r/>
            <w:r>
              <w:rPr>
                <w:rFonts w:ascii="Aptos" w:hAnsi="Aptos"/>
                <w:b w:val="0"/>
                <w:color w:val="132238"/>
                <w:sz w:val="17"/>
              </w:rPr>
              <w:t>ADMIN, BANK_OFFICER and CUSTOMER method rules</w:t>
            </w:r>
          </w:p>
        </w:tc>
      </w:tr>
      <w:tr>
        <w:tc>
          <w:tcPr>
            <w:tcW w:type="dxa" w:w="2376"/>
            <w:vAlign w:val="center"/>
          </w:tcPr>
          <w:p>
            <w:r/>
            <w:r>
              <w:rPr>
                <w:rFonts w:ascii="Aptos" w:hAnsi="Aptos"/>
                <w:b w:val="0"/>
                <w:color w:val="132238"/>
                <w:sz w:val="17"/>
              </w:rPr>
              <w:t>Object ownership</w:t>
            </w:r>
          </w:p>
        </w:tc>
        <w:tc>
          <w:tcPr>
            <w:tcW w:type="dxa" w:w="7200"/>
            <w:vAlign w:val="center"/>
          </w:tcPr>
          <w:p>
            <w:r/>
            <w:r>
              <w:rPr>
                <w:rFonts w:ascii="Aptos" w:hAnsi="Aptos"/>
                <w:b w:val="0"/>
                <w:color w:val="132238"/>
                <w:sz w:val="17"/>
              </w:rPr>
              <w:t>Customer account/detail/transaction/statement/withdrawal access checks</w:t>
            </w:r>
          </w:p>
        </w:tc>
      </w:tr>
      <w:tr>
        <w:tc>
          <w:tcPr>
            <w:tcW w:type="dxa" w:w="2376"/>
            <w:vAlign w:val="center"/>
            <w:shd w:fill="E8F3F1"/>
          </w:tcPr>
          <w:p>
            <w:r/>
            <w:r>
              <w:rPr>
                <w:rFonts w:ascii="Aptos" w:hAnsi="Aptos"/>
                <w:b w:val="0"/>
                <w:color w:val="132238"/>
                <w:sz w:val="17"/>
              </w:rPr>
              <w:t>Secrets</w:t>
            </w:r>
          </w:p>
        </w:tc>
        <w:tc>
          <w:tcPr>
            <w:tcW w:type="dxa" w:w="7200"/>
            <w:vAlign w:val="center"/>
            <w:shd w:fill="E8F3F1"/>
          </w:tcPr>
          <w:p>
            <w:r/>
            <w:r>
              <w:rPr>
                <w:rFonts w:ascii="Aptos" w:hAnsi="Aptos"/>
                <w:b w:val="0"/>
                <w:color w:val="132238"/>
                <w:sz w:val="17"/>
              </w:rPr>
              <w:t>Environment variables; example Kubernetes Secret; live secret file ignored</w:t>
            </w:r>
          </w:p>
        </w:tc>
      </w:tr>
      <w:tr>
        <w:tc>
          <w:tcPr>
            <w:tcW w:type="dxa" w:w="2376"/>
            <w:vAlign w:val="center"/>
          </w:tcPr>
          <w:p>
            <w:r/>
            <w:r>
              <w:rPr>
                <w:rFonts w:ascii="Aptos" w:hAnsi="Aptos"/>
                <w:b w:val="0"/>
                <w:color w:val="132238"/>
                <w:sz w:val="17"/>
              </w:rPr>
              <w:t>PII</w:t>
            </w:r>
          </w:p>
        </w:tc>
        <w:tc>
          <w:tcPr>
            <w:tcW w:type="dxa" w:w="7200"/>
            <w:vAlign w:val="center"/>
          </w:tcPr>
          <w:p>
            <w:r/>
            <w:r>
              <w:rPr>
                <w:rFonts w:ascii="Aptos" w:hAnsi="Aptos"/>
                <w:b w:val="0"/>
                <w:color w:val="132238"/>
                <w:sz w:val="17"/>
              </w:rPr>
              <w:t>Masked Aadhaar field and minimal customer exposure</w:t>
            </w:r>
          </w:p>
        </w:tc>
      </w:tr>
      <w:tr>
        <w:tc>
          <w:tcPr>
            <w:tcW w:type="dxa" w:w="2376"/>
            <w:vAlign w:val="center"/>
            <w:shd w:fill="E8F3F1"/>
          </w:tcPr>
          <w:p>
            <w:r/>
            <w:r>
              <w:rPr>
                <w:rFonts w:ascii="Aptos" w:hAnsi="Aptos"/>
                <w:b w:val="0"/>
                <w:color w:val="132238"/>
                <w:sz w:val="17"/>
              </w:rPr>
              <w:t>Audit</w:t>
            </w:r>
          </w:p>
        </w:tc>
        <w:tc>
          <w:tcPr>
            <w:tcW w:type="dxa" w:w="7200"/>
            <w:vAlign w:val="center"/>
            <w:shd w:fill="E8F3F1"/>
          </w:tcPr>
          <w:p>
            <w:r/>
            <w:r>
              <w:rPr>
                <w:rFonts w:ascii="Aptos" w:hAnsi="Aptos"/>
                <w:b w:val="0"/>
                <w:color w:val="132238"/>
                <w:sz w:val="17"/>
              </w:rPr>
              <w:t>Financial transactions, interest rows and notification outcomes</w:t>
            </w:r>
          </w:p>
        </w:tc>
      </w:tr>
      <w:tr>
        <w:tc>
          <w:tcPr>
            <w:tcW w:type="dxa" w:w="2376"/>
            <w:vAlign w:val="center"/>
          </w:tcPr>
          <w:p>
            <w:r/>
            <w:r>
              <w:rPr>
                <w:rFonts w:ascii="Aptos" w:hAnsi="Aptos"/>
                <w:b w:val="0"/>
                <w:color w:val="132238"/>
                <w:sz w:val="17"/>
              </w:rPr>
              <w:t>Edge protection</w:t>
            </w:r>
          </w:p>
        </w:tc>
        <w:tc>
          <w:tcPr>
            <w:tcW w:type="dxa" w:w="7200"/>
            <w:vAlign w:val="center"/>
          </w:tcPr>
          <w:p>
            <w:r/>
            <w:r>
              <w:rPr>
                <w:rFonts w:ascii="Aptos" w:hAnsi="Aptos"/>
                <w:b w:val="0"/>
                <w:color w:val="132238"/>
                <w:sz w:val="17"/>
              </w:rPr>
              <w:t>Gateway JWT validation, rate-limiter component and health endpoints</w:t>
            </w:r>
          </w:p>
        </w:tc>
      </w:tr>
    </w:tbl>
    <w:p/>
    <w:p>
      <w:pPr>
        <w:pStyle w:val="Heading2"/>
      </w:pPr>
      <w:r>
        <w:t>Security action required</w:t>
      </w:r>
    </w:p>
    <w:p>
      <w:r>
        <w:t>The repository’s original public commit contained an SMTP credential-like value. Removing it from the latest tree does not remove it from Git history. If genuine, revoke it immediately. A history rewrite can be performed separately only after coordinating with collaborators because it changes commit identities.</w:t>
      </w:r>
    </w:p>
    <w:p>
      <w:r>
        <w:br w:type="page"/>
      </w:r>
    </w:p>
    <w:p>
      <w:r>
        <w:rPr>
          <w:b/>
          <w:color w:val="D4A72C"/>
          <w:sz w:val="18"/>
        </w:rPr>
        <w:t>08 • STANDARDS</w:t>
      </w:r>
    </w:p>
    <w:p>
      <w:pPr>
        <w:pStyle w:val="Heading1"/>
      </w:pPr>
      <w:r>
        <w:t>Multi-currency correctness</w:t>
      </w:r>
    </w:p>
    <w:p>
      <w:r>
        <w:t>CurrencyRules centralizes supported ISO 4217-like precision. Validation rejects unsupported currencies, product/account currency mismatches and principal amounts with excessive fractional digits.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584"/>
            <w:vAlign w:val="center"/>
            <w:shd w:fill="0F766E"/>
          </w:tcPr>
          <w:p>
            <w:r/>
            <w:r>
              <w:rPr>
                <w:rFonts w:ascii="Aptos" w:hAnsi="Aptos"/>
                <w:b/>
                <w:color w:val="FFFFFF"/>
                <w:sz w:val="18"/>
              </w:rPr>
              <w:t>Currency</w:t>
            </w:r>
          </w:p>
        </w:tc>
        <w:tc>
          <w:tcPr>
            <w:tcW w:type="dxa" w:w="3312"/>
            <w:vAlign w:val="center"/>
            <w:shd w:fill="0F766E"/>
          </w:tcPr>
          <w:p>
            <w:r/>
            <w:r>
              <w:rPr>
                <w:rFonts w:ascii="Aptos" w:hAnsi="Aptos"/>
                <w:b/>
                <w:color w:val="FFFFFF"/>
                <w:sz w:val="18"/>
              </w:rPr>
              <w:t>Typical use</w:t>
            </w:r>
          </w:p>
        </w:tc>
        <w:tc>
          <w:tcPr>
            <w:tcW w:type="dxa" w:w="1584"/>
            <w:vAlign w:val="center"/>
            <w:shd w:fill="0F766E"/>
          </w:tcPr>
          <w:p>
            <w:r/>
            <w:r>
              <w:rPr>
                <w:rFonts w:ascii="Aptos" w:hAnsi="Aptos"/>
                <w:b/>
                <w:color w:val="FFFFFF"/>
                <w:sz w:val="18"/>
              </w:rPr>
              <w:t>Minor units</w:t>
            </w:r>
          </w:p>
        </w:tc>
        <w:tc>
          <w:tcPr>
            <w:tcW w:type="dxa" w:w="2592"/>
            <w:vAlign w:val="center"/>
            <w:shd w:fill="0F766E"/>
          </w:tcPr>
          <w:p>
            <w:r/>
            <w:r>
              <w:rPr>
                <w:rFonts w:ascii="Aptos" w:hAnsi="Aptos"/>
                <w:b/>
                <w:color w:val="FFFFFF"/>
                <w:sz w:val="18"/>
              </w:rPr>
              <w:t>Example valid amount</w:t>
            </w:r>
          </w:p>
        </w:tc>
      </w:tr>
      <w:tr>
        <w:tc>
          <w:tcPr>
            <w:tcW w:type="dxa" w:w="1584"/>
            <w:vAlign w:val="center"/>
          </w:tcPr>
          <w:p>
            <w:r/>
            <w:r>
              <w:rPr>
                <w:rFonts w:ascii="Aptos" w:hAnsi="Aptos"/>
                <w:b w:val="0"/>
                <w:color w:val="132238"/>
                <w:sz w:val="17"/>
              </w:rPr>
              <w:t>INR</w:t>
            </w:r>
          </w:p>
        </w:tc>
        <w:tc>
          <w:tcPr>
            <w:tcW w:type="dxa" w:w="3312"/>
            <w:vAlign w:val="center"/>
          </w:tcPr>
          <w:p>
            <w:r/>
            <w:r>
              <w:rPr>
                <w:rFonts w:ascii="Aptos" w:hAnsi="Aptos"/>
                <w:b w:val="0"/>
                <w:color w:val="132238"/>
                <w:sz w:val="17"/>
              </w:rPr>
              <w:t>Indian rupee</w:t>
            </w:r>
          </w:p>
        </w:tc>
        <w:tc>
          <w:tcPr>
            <w:tcW w:type="dxa" w:w="1584"/>
            <w:vAlign w:val="center"/>
          </w:tcPr>
          <w:p>
            <w:r/>
            <w:r>
              <w:rPr>
                <w:rFonts w:ascii="Aptos" w:hAnsi="Aptos"/>
                <w:b w:val="0"/>
                <w:color w:val="132238"/>
                <w:sz w:val="17"/>
              </w:rPr>
              <w:t>2</w:t>
            </w:r>
          </w:p>
        </w:tc>
        <w:tc>
          <w:tcPr>
            <w:tcW w:type="dxa" w:w="2592"/>
            <w:vAlign w:val="center"/>
          </w:tcPr>
          <w:p>
            <w:r/>
            <w:r>
              <w:rPr>
                <w:rFonts w:ascii="Aptos" w:hAnsi="Aptos"/>
                <w:b w:val="0"/>
                <w:color w:val="132238"/>
                <w:sz w:val="17"/>
              </w:rPr>
              <w:t>100000.00</w:t>
            </w:r>
          </w:p>
        </w:tc>
      </w:tr>
      <w:tr>
        <w:tc>
          <w:tcPr>
            <w:tcW w:type="dxa" w:w="1584"/>
            <w:vAlign w:val="center"/>
            <w:shd w:fill="E8F3F1"/>
          </w:tcPr>
          <w:p>
            <w:r/>
            <w:r>
              <w:rPr>
                <w:rFonts w:ascii="Aptos" w:hAnsi="Aptos"/>
                <w:b w:val="0"/>
                <w:color w:val="132238"/>
                <w:sz w:val="17"/>
              </w:rPr>
              <w:t>USD</w:t>
            </w:r>
          </w:p>
        </w:tc>
        <w:tc>
          <w:tcPr>
            <w:tcW w:type="dxa" w:w="3312"/>
            <w:vAlign w:val="center"/>
            <w:shd w:fill="E8F3F1"/>
          </w:tcPr>
          <w:p>
            <w:r/>
            <w:r>
              <w:rPr>
                <w:rFonts w:ascii="Aptos" w:hAnsi="Aptos"/>
                <w:b w:val="0"/>
                <w:color w:val="132238"/>
                <w:sz w:val="17"/>
              </w:rPr>
              <w:t>US dollar</w:t>
            </w:r>
          </w:p>
        </w:tc>
        <w:tc>
          <w:tcPr>
            <w:tcW w:type="dxa" w:w="1584"/>
            <w:vAlign w:val="center"/>
            <w:shd w:fill="E8F3F1"/>
          </w:tcPr>
          <w:p>
            <w:r/>
            <w:r>
              <w:rPr>
                <w:rFonts w:ascii="Aptos" w:hAnsi="Aptos"/>
                <w:b w:val="0"/>
                <w:color w:val="132238"/>
                <w:sz w:val="17"/>
              </w:rPr>
              <w:t>2</w:t>
            </w:r>
          </w:p>
        </w:tc>
        <w:tc>
          <w:tcPr>
            <w:tcW w:type="dxa" w:w="2592"/>
            <w:vAlign w:val="center"/>
            <w:shd w:fill="E8F3F1"/>
          </w:tcPr>
          <w:p>
            <w:r/>
            <w:r>
              <w:rPr>
                <w:rFonts w:ascii="Aptos" w:hAnsi="Aptos"/>
                <w:b w:val="0"/>
                <w:color w:val="132238"/>
                <w:sz w:val="17"/>
              </w:rPr>
              <w:t>2500.50</w:t>
            </w:r>
          </w:p>
        </w:tc>
      </w:tr>
      <w:tr>
        <w:tc>
          <w:tcPr>
            <w:tcW w:type="dxa" w:w="1584"/>
            <w:vAlign w:val="center"/>
          </w:tcPr>
          <w:p>
            <w:r/>
            <w:r>
              <w:rPr>
                <w:rFonts w:ascii="Aptos" w:hAnsi="Aptos"/>
                <w:b w:val="0"/>
                <w:color w:val="132238"/>
                <w:sz w:val="17"/>
              </w:rPr>
              <w:t>EUR</w:t>
            </w:r>
          </w:p>
        </w:tc>
        <w:tc>
          <w:tcPr>
            <w:tcW w:type="dxa" w:w="3312"/>
            <w:vAlign w:val="center"/>
          </w:tcPr>
          <w:p>
            <w:r/>
            <w:r>
              <w:rPr>
                <w:rFonts w:ascii="Aptos" w:hAnsi="Aptos"/>
                <w:b w:val="0"/>
                <w:color w:val="132238"/>
                <w:sz w:val="17"/>
              </w:rPr>
              <w:t>Euro</w:t>
            </w:r>
          </w:p>
        </w:tc>
        <w:tc>
          <w:tcPr>
            <w:tcW w:type="dxa" w:w="1584"/>
            <w:vAlign w:val="center"/>
          </w:tcPr>
          <w:p>
            <w:r/>
            <w:r>
              <w:rPr>
                <w:rFonts w:ascii="Aptos" w:hAnsi="Aptos"/>
                <w:b w:val="0"/>
                <w:color w:val="132238"/>
                <w:sz w:val="17"/>
              </w:rPr>
              <w:t>2</w:t>
            </w:r>
          </w:p>
        </w:tc>
        <w:tc>
          <w:tcPr>
            <w:tcW w:type="dxa" w:w="2592"/>
            <w:vAlign w:val="center"/>
          </w:tcPr>
          <w:p>
            <w:r/>
            <w:r>
              <w:rPr>
                <w:rFonts w:ascii="Aptos" w:hAnsi="Aptos"/>
                <w:b w:val="0"/>
                <w:color w:val="132238"/>
                <w:sz w:val="17"/>
              </w:rPr>
              <w:t>2500.50</w:t>
            </w:r>
          </w:p>
        </w:tc>
      </w:tr>
      <w:tr>
        <w:tc>
          <w:tcPr>
            <w:tcW w:type="dxa" w:w="1584"/>
            <w:vAlign w:val="center"/>
            <w:shd w:fill="E8F3F1"/>
          </w:tcPr>
          <w:p>
            <w:r/>
            <w:r>
              <w:rPr>
                <w:rFonts w:ascii="Aptos" w:hAnsi="Aptos"/>
                <w:b w:val="0"/>
                <w:color w:val="132238"/>
                <w:sz w:val="17"/>
              </w:rPr>
              <w:t>GBP</w:t>
            </w:r>
          </w:p>
        </w:tc>
        <w:tc>
          <w:tcPr>
            <w:tcW w:type="dxa" w:w="3312"/>
            <w:vAlign w:val="center"/>
            <w:shd w:fill="E8F3F1"/>
          </w:tcPr>
          <w:p>
            <w:r/>
            <w:r>
              <w:rPr>
                <w:rFonts w:ascii="Aptos" w:hAnsi="Aptos"/>
                <w:b w:val="0"/>
                <w:color w:val="132238"/>
                <w:sz w:val="17"/>
              </w:rPr>
              <w:t>Pound sterling</w:t>
            </w:r>
          </w:p>
        </w:tc>
        <w:tc>
          <w:tcPr>
            <w:tcW w:type="dxa" w:w="1584"/>
            <w:vAlign w:val="center"/>
            <w:shd w:fill="E8F3F1"/>
          </w:tcPr>
          <w:p>
            <w:r/>
            <w:r>
              <w:rPr>
                <w:rFonts w:ascii="Aptos" w:hAnsi="Aptos"/>
                <w:b w:val="0"/>
                <w:color w:val="132238"/>
                <w:sz w:val="17"/>
              </w:rPr>
              <w:t>2</w:t>
            </w:r>
          </w:p>
        </w:tc>
        <w:tc>
          <w:tcPr>
            <w:tcW w:type="dxa" w:w="2592"/>
            <w:vAlign w:val="center"/>
            <w:shd w:fill="E8F3F1"/>
          </w:tcPr>
          <w:p>
            <w:r/>
            <w:r>
              <w:rPr>
                <w:rFonts w:ascii="Aptos" w:hAnsi="Aptos"/>
                <w:b w:val="0"/>
                <w:color w:val="132238"/>
                <w:sz w:val="17"/>
              </w:rPr>
              <w:t>2500.50</w:t>
            </w:r>
          </w:p>
        </w:tc>
      </w:tr>
      <w:tr>
        <w:tc>
          <w:tcPr>
            <w:tcW w:type="dxa" w:w="1584"/>
            <w:vAlign w:val="center"/>
          </w:tcPr>
          <w:p>
            <w:r/>
            <w:r>
              <w:rPr>
                <w:rFonts w:ascii="Aptos" w:hAnsi="Aptos"/>
                <w:b w:val="0"/>
                <w:color w:val="132238"/>
                <w:sz w:val="17"/>
              </w:rPr>
              <w:t>JPY</w:t>
            </w:r>
          </w:p>
        </w:tc>
        <w:tc>
          <w:tcPr>
            <w:tcW w:type="dxa" w:w="3312"/>
            <w:vAlign w:val="center"/>
          </w:tcPr>
          <w:p>
            <w:r/>
            <w:r>
              <w:rPr>
                <w:rFonts w:ascii="Aptos" w:hAnsi="Aptos"/>
                <w:b w:val="0"/>
                <w:color w:val="132238"/>
                <w:sz w:val="17"/>
              </w:rPr>
              <w:t>Japanese yen</w:t>
            </w:r>
          </w:p>
        </w:tc>
        <w:tc>
          <w:tcPr>
            <w:tcW w:type="dxa" w:w="1584"/>
            <w:vAlign w:val="center"/>
          </w:tcPr>
          <w:p>
            <w:r/>
            <w:r>
              <w:rPr>
                <w:rFonts w:ascii="Aptos" w:hAnsi="Aptos"/>
                <w:b w:val="0"/>
                <w:color w:val="132238"/>
                <w:sz w:val="17"/>
              </w:rPr>
              <w:t>0</w:t>
            </w:r>
          </w:p>
        </w:tc>
        <w:tc>
          <w:tcPr>
            <w:tcW w:type="dxa" w:w="2592"/>
            <w:vAlign w:val="center"/>
          </w:tcPr>
          <w:p>
            <w:r/>
            <w:r>
              <w:rPr>
                <w:rFonts w:ascii="Aptos" w:hAnsi="Aptos"/>
                <w:b w:val="0"/>
                <w:color w:val="132238"/>
                <w:sz w:val="17"/>
              </w:rPr>
              <w:t>250000</w:t>
            </w:r>
          </w:p>
        </w:tc>
      </w:tr>
      <w:tr>
        <w:tc>
          <w:tcPr>
            <w:tcW w:type="dxa" w:w="1584"/>
            <w:vAlign w:val="center"/>
            <w:shd w:fill="E8F3F1"/>
          </w:tcPr>
          <w:p>
            <w:r/>
            <w:r>
              <w:rPr>
                <w:rFonts w:ascii="Aptos" w:hAnsi="Aptos"/>
                <w:b w:val="0"/>
                <w:color w:val="132238"/>
                <w:sz w:val="17"/>
              </w:rPr>
              <w:t>AED</w:t>
            </w:r>
          </w:p>
        </w:tc>
        <w:tc>
          <w:tcPr>
            <w:tcW w:type="dxa" w:w="3312"/>
            <w:vAlign w:val="center"/>
            <w:shd w:fill="E8F3F1"/>
          </w:tcPr>
          <w:p>
            <w:r/>
            <w:r>
              <w:rPr>
                <w:rFonts w:ascii="Aptos" w:hAnsi="Aptos"/>
                <w:b w:val="0"/>
                <w:color w:val="132238"/>
                <w:sz w:val="17"/>
              </w:rPr>
              <w:t>UAE dirham</w:t>
            </w:r>
          </w:p>
        </w:tc>
        <w:tc>
          <w:tcPr>
            <w:tcW w:type="dxa" w:w="1584"/>
            <w:vAlign w:val="center"/>
            <w:shd w:fill="E8F3F1"/>
          </w:tcPr>
          <w:p>
            <w:r/>
            <w:r>
              <w:rPr>
                <w:rFonts w:ascii="Aptos" w:hAnsi="Aptos"/>
                <w:b w:val="0"/>
                <w:color w:val="132238"/>
                <w:sz w:val="17"/>
              </w:rPr>
              <w:t>2</w:t>
            </w:r>
          </w:p>
        </w:tc>
        <w:tc>
          <w:tcPr>
            <w:tcW w:type="dxa" w:w="2592"/>
            <w:vAlign w:val="center"/>
            <w:shd w:fill="E8F3F1"/>
          </w:tcPr>
          <w:p>
            <w:r/>
            <w:r>
              <w:rPr>
                <w:rFonts w:ascii="Aptos" w:hAnsi="Aptos"/>
                <w:b w:val="0"/>
                <w:color w:val="132238"/>
                <w:sz w:val="17"/>
              </w:rPr>
              <w:t>10000.00</w:t>
            </w:r>
          </w:p>
        </w:tc>
      </w:tr>
      <w:tr>
        <w:tc>
          <w:tcPr>
            <w:tcW w:type="dxa" w:w="1584"/>
            <w:vAlign w:val="center"/>
          </w:tcPr>
          <w:p>
            <w:r/>
            <w:r>
              <w:rPr>
                <w:rFonts w:ascii="Aptos" w:hAnsi="Aptos"/>
                <w:b w:val="0"/>
                <w:color w:val="132238"/>
                <w:sz w:val="17"/>
              </w:rPr>
              <w:t>KWD</w:t>
            </w:r>
          </w:p>
        </w:tc>
        <w:tc>
          <w:tcPr>
            <w:tcW w:type="dxa" w:w="3312"/>
            <w:vAlign w:val="center"/>
          </w:tcPr>
          <w:p>
            <w:r/>
            <w:r>
              <w:rPr>
                <w:rFonts w:ascii="Aptos" w:hAnsi="Aptos"/>
                <w:b w:val="0"/>
                <w:color w:val="132238"/>
                <w:sz w:val="17"/>
              </w:rPr>
              <w:t>Kuwaiti dinar</w:t>
            </w:r>
          </w:p>
        </w:tc>
        <w:tc>
          <w:tcPr>
            <w:tcW w:type="dxa" w:w="1584"/>
            <w:vAlign w:val="center"/>
          </w:tcPr>
          <w:p>
            <w:r/>
            <w:r>
              <w:rPr>
                <w:rFonts w:ascii="Aptos" w:hAnsi="Aptos"/>
                <w:b w:val="0"/>
                <w:color w:val="132238"/>
                <w:sz w:val="17"/>
              </w:rPr>
              <w:t>3</w:t>
            </w:r>
          </w:p>
        </w:tc>
        <w:tc>
          <w:tcPr>
            <w:tcW w:type="dxa" w:w="2592"/>
            <w:vAlign w:val="center"/>
          </w:tcPr>
          <w:p>
            <w:r/>
            <w:r>
              <w:rPr>
                <w:rFonts w:ascii="Aptos" w:hAnsi="Aptos"/>
                <w:b w:val="0"/>
                <w:color w:val="132238"/>
                <w:sz w:val="17"/>
              </w:rPr>
              <w:t>1500.125</w:t>
            </w:r>
          </w:p>
        </w:tc>
      </w:tr>
    </w:tbl>
    <w:p/>
    <w:p>
      <w:r>
        <w:t>Database money columns use scale 3 so KWD values are retained. Service calculations round to the account currency’s permitted scale before persistence and response serialization.</w:t>
      </w:r>
    </w:p>
    <w:p>
      <w:r>
        <w:br w:type="page"/>
      </w:r>
    </w:p>
    <w:p>
      <w:r>
        <w:rPr>
          <w:b/>
          <w:color w:val="D4A72C"/>
          <w:sz w:val="18"/>
        </w:rPr>
        <w:t>09 • SUPPORTING SERVICES</w:t>
      </w:r>
    </w:p>
    <w:p>
      <w:pPr>
        <w:pStyle w:val="Heading1"/>
      </w:pPr>
      <w:r>
        <w:t>Reporting and notifications</w:t>
      </w:r>
    </w:p>
    <w:tbl>
      <w:tblPr>
        <w:tblStyle w:val="TableGrid"/>
        <w:tblW w:type="auto" w:w="0"/>
        <w:jc w:val="center"/>
        <w:tblLook w:firstColumn="1" w:firstRow="1" w:lastColumn="0" w:lastRow="0" w:noHBand="0" w:noVBand="1" w:val="04A0"/>
      </w:tblPr>
      <w:tblGrid>
        <w:gridCol w:w="3331"/>
        <w:gridCol w:w="3331"/>
        <w:gridCol w:w="3331"/>
      </w:tblGrid>
      <w:tr>
        <w:tc>
          <w:tcPr>
            <w:tcW w:type="dxa" w:w="2304"/>
            <w:vAlign w:val="center"/>
            <w:shd w:fill="0F766E"/>
          </w:tcPr>
          <w:p>
            <w:r/>
            <w:r>
              <w:rPr>
                <w:rFonts w:ascii="Aptos" w:hAnsi="Aptos"/>
                <w:b/>
                <w:color w:val="FFFFFF"/>
                <w:sz w:val="18"/>
              </w:rPr>
              <w:t>Artifact / event</w:t>
            </w:r>
          </w:p>
        </w:tc>
        <w:tc>
          <w:tcPr>
            <w:tcW w:type="dxa" w:w="2880"/>
            <w:vAlign w:val="center"/>
            <w:shd w:fill="0F766E"/>
          </w:tcPr>
          <w:p>
            <w:r/>
            <w:r>
              <w:rPr>
                <w:rFonts w:ascii="Aptos" w:hAnsi="Aptos"/>
                <w:b/>
                <w:color w:val="FFFFFF"/>
                <w:sz w:val="18"/>
              </w:rPr>
              <w:t>Provider</w:t>
            </w:r>
          </w:p>
        </w:tc>
        <w:tc>
          <w:tcPr>
            <w:tcW w:type="dxa" w:w="4392"/>
            <w:vAlign w:val="center"/>
            <w:shd w:fill="0F766E"/>
          </w:tcPr>
          <w:p>
            <w:r/>
            <w:r>
              <w:rPr>
                <w:rFonts w:ascii="Aptos" w:hAnsi="Aptos"/>
                <w:b/>
                <w:color w:val="FFFFFF"/>
                <w:sz w:val="18"/>
              </w:rPr>
              <w:t>Demonstration behavior</w:t>
            </w:r>
          </w:p>
        </w:tc>
      </w:tr>
      <w:tr>
        <w:tc>
          <w:tcPr>
            <w:tcW w:type="dxa" w:w="2304"/>
            <w:vAlign w:val="center"/>
          </w:tcPr>
          <w:p>
            <w:r/>
            <w:r>
              <w:rPr>
                <w:rFonts w:ascii="Aptos" w:hAnsi="Aptos"/>
                <w:b w:val="0"/>
                <w:color w:val="132238"/>
                <w:sz w:val="17"/>
              </w:rPr>
              <w:t>FD summary CSV</w:t>
            </w:r>
          </w:p>
        </w:tc>
        <w:tc>
          <w:tcPr>
            <w:tcW w:type="dxa" w:w="2880"/>
            <w:vAlign w:val="center"/>
          </w:tcPr>
          <w:p>
            <w:r/>
            <w:r>
              <w:rPr>
                <w:rFonts w:ascii="Aptos" w:hAnsi="Aptos"/>
                <w:b w:val="0"/>
                <w:color w:val="132238"/>
                <w:sz w:val="17"/>
              </w:rPr>
              <w:t>Python report service</w:t>
            </w:r>
          </w:p>
        </w:tc>
        <w:tc>
          <w:tcPr>
            <w:tcW w:type="dxa" w:w="4392"/>
            <w:vAlign w:val="center"/>
          </w:tcPr>
          <w:p>
            <w:r/>
            <w:r>
              <w:rPr>
                <w:rFonts w:ascii="Aptos" w:hAnsi="Aptos"/>
                <w:b w:val="0"/>
                <w:color w:val="132238"/>
                <w:sz w:val="17"/>
              </w:rPr>
              <w:t>Downloads a machine-readable portfolio snapshot</w:t>
            </w:r>
          </w:p>
        </w:tc>
      </w:tr>
      <w:tr>
        <w:tc>
          <w:tcPr>
            <w:tcW w:type="dxa" w:w="2304"/>
            <w:vAlign w:val="center"/>
            <w:shd w:fill="E8F3F1"/>
          </w:tcPr>
          <w:p>
            <w:r/>
            <w:r>
              <w:rPr>
                <w:rFonts w:ascii="Aptos" w:hAnsi="Aptos"/>
                <w:b w:val="0"/>
                <w:color w:val="132238"/>
                <w:sz w:val="17"/>
              </w:rPr>
              <w:t>FD summary PDF</w:t>
            </w:r>
          </w:p>
        </w:tc>
        <w:tc>
          <w:tcPr>
            <w:tcW w:type="dxa" w:w="2880"/>
            <w:vAlign w:val="center"/>
            <w:shd w:fill="E8F3F1"/>
          </w:tcPr>
          <w:p>
            <w:r/>
            <w:r>
              <w:rPr>
                <w:rFonts w:ascii="Aptos" w:hAnsi="Aptos"/>
                <w:b w:val="0"/>
                <w:color w:val="132238"/>
                <w:sz w:val="17"/>
              </w:rPr>
              <w:t>Python report service</w:t>
            </w:r>
          </w:p>
        </w:tc>
        <w:tc>
          <w:tcPr>
            <w:tcW w:type="dxa" w:w="4392"/>
            <w:vAlign w:val="center"/>
            <w:shd w:fill="E8F3F1"/>
          </w:tcPr>
          <w:p>
            <w:r/>
            <w:r>
              <w:rPr>
                <w:rFonts w:ascii="Aptos" w:hAnsi="Aptos"/>
                <w:b w:val="0"/>
                <w:color w:val="132238"/>
                <w:sz w:val="17"/>
              </w:rPr>
              <w:t>Downloads a printable management summary</w:t>
            </w:r>
          </w:p>
        </w:tc>
      </w:tr>
      <w:tr>
        <w:tc>
          <w:tcPr>
            <w:tcW w:type="dxa" w:w="2304"/>
            <w:vAlign w:val="center"/>
          </w:tcPr>
          <w:p>
            <w:r/>
            <w:r>
              <w:rPr>
                <w:rFonts w:ascii="Aptos" w:hAnsi="Aptos"/>
                <w:b w:val="0"/>
                <w:color w:val="132238"/>
                <w:sz w:val="17"/>
              </w:rPr>
              <w:t>Portfolio PNG</w:t>
            </w:r>
          </w:p>
        </w:tc>
        <w:tc>
          <w:tcPr>
            <w:tcW w:type="dxa" w:w="2880"/>
            <w:vAlign w:val="center"/>
          </w:tcPr>
          <w:p>
            <w:r/>
            <w:r>
              <w:rPr>
                <w:rFonts w:ascii="Aptos" w:hAnsi="Aptos"/>
                <w:b w:val="0"/>
                <w:color w:val="132238"/>
                <w:sz w:val="17"/>
              </w:rPr>
              <w:t>Python report service</w:t>
            </w:r>
          </w:p>
        </w:tc>
        <w:tc>
          <w:tcPr>
            <w:tcW w:type="dxa" w:w="4392"/>
            <w:vAlign w:val="center"/>
          </w:tcPr>
          <w:p>
            <w:r/>
            <w:r>
              <w:rPr>
                <w:rFonts w:ascii="Aptos" w:hAnsi="Aptos"/>
                <w:b w:val="0"/>
                <w:color w:val="132238"/>
                <w:sz w:val="17"/>
              </w:rPr>
              <w:t>Renders customer allocation visualization</w:t>
            </w:r>
          </w:p>
        </w:tc>
      </w:tr>
      <w:tr>
        <w:tc>
          <w:tcPr>
            <w:tcW w:type="dxa" w:w="2304"/>
            <w:vAlign w:val="center"/>
            <w:shd w:fill="E8F3F1"/>
          </w:tcPr>
          <w:p>
            <w:r/>
            <w:r>
              <w:rPr>
                <w:rFonts w:ascii="Aptos" w:hAnsi="Aptos"/>
                <w:b w:val="0"/>
                <w:color w:val="132238"/>
                <w:sz w:val="17"/>
              </w:rPr>
              <w:t>Spring report API</w:t>
            </w:r>
          </w:p>
        </w:tc>
        <w:tc>
          <w:tcPr>
            <w:tcW w:type="dxa" w:w="2880"/>
            <w:vAlign w:val="center"/>
            <w:shd w:fill="E8F3F1"/>
          </w:tcPr>
          <w:p>
            <w:r/>
            <w:r>
              <w:rPr>
                <w:rFonts w:ascii="Aptos" w:hAnsi="Aptos"/>
                <w:b w:val="0"/>
                <w:color w:val="132238"/>
                <w:sz w:val="17"/>
              </w:rPr>
              <w:t>FD service</w:t>
            </w:r>
          </w:p>
        </w:tc>
        <w:tc>
          <w:tcPr>
            <w:tcW w:type="dxa" w:w="4392"/>
            <w:vAlign w:val="center"/>
            <w:shd w:fill="E8F3F1"/>
          </w:tcPr>
          <w:p>
            <w:r/>
            <w:r>
              <w:rPr>
                <w:rFonts w:ascii="Aptos" w:hAnsi="Aptos"/>
                <w:b w:val="0"/>
                <w:color w:val="132238"/>
                <w:sz w:val="17"/>
              </w:rPr>
              <w:t>Role-specific JSON summaries and CSV</w:t>
            </w:r>
          </w:p>
        </w:tc>
      </w:tr>
      <w:tr>
        <w:tc>
          <w:tcPr>
            <w:tcW w:type="dxa" w:w="2304"/>
            <w:vAlign w:val="center"/>
          </w:tcPr>
          <w:p>
            <w:r/>
            <w:r>
              <w:rPr>
                <w:rFonts w:ascii="Aptos" w:hAnsi="Aptos"/>
                <w:b w:val="0"/>
                <w:color w:val="132238"/>
                <w:sz w:val="17"/>
              </w:rPr>
              <w:t>FD opened</w:t>
            </w:r>
          </w:p>
        </w:tc>
        <w:tc>
          <w:tcPr>
            <w:tcW w:type="dxa" w:w="2880"/>
            <w:vAlign w:val="center"/>
          </w:tcPr>
          <w:p>
            <w:r/>
            <w:r>
              <w:rPr>
                <w:rFonts w:ascii="Aptos" w:hAnsi="Aptos"/>
                <w:b w:val="0"/>
                <w:color w:val="132238"/>
                <w:sz w:val="17"/>
              </w:rPr>
              <w:t>Kafka + notification service</w:t>
            </w:r>
          </w:p>
        </w:tc>
        <w:tc>
          <w:tcPr>
            <w:tcW w:type="dxa" w:w="4392"/>
            <w:vAlign w:val="center"/>
          </w:tcPr>
          <w:p>
            <w:r/>
            <w:r>
              <w:rPr>
                <w:rFonts w:ascii="Aptos" w:hAnsi="Aptos"/>
                <w:b w:val="0"/>
                <w:color w:val="132238"/>
                <w:sz w:val="17"/>
              </w:rPr>
              <w:t>Versioned event + SMTP + idempotent audit record</w:t>
            </w:r>
          </w:p>
        </w:tc>
      </w:tr>
      <w:tr>
        <w:tc>
          <w:tcPr>
            <w:tcW w:type="dxa" w:w="2304"/>
            <w:vAlign w:val="center"/>
            <w:shd w:fill="E8F3F1"/>
          </w:tcPr>
          <w:p>
            <w:r/>
            <w:r>
              <w:rPr>
                <w:rFonts w:ascii="Aptos" w:hAnsi="Aptos"/>
                <w:b w:val="0"/>
                <w:color w:val="132238"/>
                <w:sz w:val="17"/>
              </w:rPr>
              <w:t>Interest/maturity/withdrawal</w:t>
            </w:r>
          </w:p>
        </w:tc>
        <w:tc>
          <w:tcPr>
            <w:tcW w:type="dxa" w:w="2880"/>
            <w:vAlign w:val="center"/>
            <w:shd w:fill="E8F3F1"/>
          </w:tcPr>
          <w:p>
            <w:r/>
            <w:r>
              <w:rPr>
                <w:rFonts w:ascii="Aptos" w:hAnsi="Aptos"/>
                <w:b w:val="0"/>
                <w:color w:val="132238"/>
                <w:sz w:val="17"/>
              </w:rPr>
              <w:t>Kafka + notification service</w:t>
            </w:r>
          </w:p>
        </w:tc>
        <w:tc>
          <w:tcPr>
            <w:tcW w:type="dxa" w:w="4392"/>
            <w:vAlign w:val="center"/>
            <w:shd w:fill="E8F3F1"/>
          </w:tcPr>
          <w:p>
            <w:r/>
            <w:r>
              <w:rPr>
                <w:rFonts w:ascii="Aptos" w:hAnsi="Aptos"/>
                <w:b w:val="0"/>
                <w:color w:val="132238"/>
                <w:sz w:val="17"/>
              </w:rPr>
              <w:t>Event-specific customer message and status</w:t>
            </w:r>
          </w:p>
        </w:tc>
      </w:tr>
    </w:tbl>
    <w:p/>
    <w:p>
      <w:r>
        <w:t>Mailpit is deliberately used for grading: it is free, local, contains no real recipient data and gives visible proof of delivery at http://localhost:8025. Production email, SMS or WhatsApp can be introduced behind the same notification boundary later.</w:t>
      </w:r>
    </w:p>
    <w:p>
      <w:r>
        <w:br w:type="page"/>
      </w:r>
    </w:p>
    <w:p>
      <w:r>
        <w:rPr>
          <w:b/>
          <w:color w:val="D4A72C"/>
          <w:sz w:val="18"/>
        </w:rPr>
        <w:t>10 • QUALITY</w:t>
      </w:r>
    </w:p>
    <w:p>
      <w:pPr>
        <w:pStyle w:val="Heading1"/>
      </w:pPr>
      <w:r>
        <w:t>Verification evidence</w:t>
      </w:r>
    </w:p>
    <w:tbl>
      <w:tblPr>
        <w:tblStyle w:val="TableGrid"/>
        <w:tblW w:type="auto" w:w="0"/>
        <w:jc w:val="center"/>
        <w:tblLook w:firstColumn="1" w:firstRow="1" w:lastColumn="0" w:lastRow="0" w:noHBand="0" w:noVBand="1" w:val="04A0"/>
      </w:tblPr>
      <w:tblGrid>
        <w:gridCol w:w="3331"/>
        <w:gridCol w:w="3331"/>
        <w:gridCol w:w="3331"/>
      </w:tblGrid>
      <w:tr>
        <w:tc>
          <w:tcPr>
            <w:tcW w:type="dxa" w:w="2520"/>
            <w:vAlign w:val="center"/>
            <w:shd w:fill="0F766E"/>
          </w:tcPr>
          <w:p>
            <w:r/>
            <w:r>
              <w:rPr>
                <w:rFonts w:ascii="Aptos" w:hAnsi="Aptos"/>
                <w:b/>
                <w:color w:val="FFFFFF"/>
                <w:sz w:val="18"/>
              </w:rPr>
              <w:t>Check</w:t>
            </w:r>
          </w:p>
        </w:tc>
        <w:tc>
          <w:tcPr>
            <w:tcW w:type="dxa" w:w="1728"/>
            <w:vAlign w:val="center"/>
            <w:shd w:fill="0F766E"/>
          </w:tcPr>
          <w:p>
            <w:r/>
            <w:r>
              <w:rPr>
                <w:rFonts w:ascii="Aptos" w:hAnsi="Aptos"/>
                <w:b/>
                <w:color w:val="FFFFFF"/>
                <w:sz w:val="18"/>
              </w:rPr>
              <w:t>Result</w:t>
            </w:r>
          </w:p>
        </w:tc>
        <w:tc>
          <w:tcPr>
            <w:tcW w:type="dxa" w:w="5328"/>
            <w:vAlign w:val="center"/>
            <w:shd w:fill="0F766E"/>
          </w:tcPr>
          <w:p>
            <w:r/>
            <w:r>
              <w:rPr>
                <w:rFonts w:ascii="Aptos" w:hAnsi="Aptos"/>
                <w:b/>
                <w:color w:val="FFFFFF"/>
                <w:sz w:val="18"/>
              </w:rPr>
              <w:t>Evidence</w:t>
            </w:r>
          </w:p>
        </w:tc>
      </w:tr>
      <w:tr>
        <w:tc>
          <w:tcPr>
            <w:tcW w:type="dxa" w:w="2520"/>
            <w:vAlign w:val="center"/>
          </w:tcPr>
          <w:p>
            <w:r/>
            <w:r>
              <w:rPr>
                <w:rFonts w:ascii="Aptos" w:hAnsi="Aptos"/>
                <w:b w:val="0"/>
                <w:color w:val="132238"/>
                <w:sz w:val="17"/>
              </w:rPr>
              <w:t>Spring Boot tests</w:t>
            </w:r>
          </w:p>
        </w:tc>
        <w:tc>
          <w:tcPr>
            <w:tcW w:type="dxa" w:w="1728"/>
            <w:vAlign w:val="center"/>
          </w:tcPr>
          <w:p>
            <w:r/>
            <w:r>
              <w:rPr>
                <w:rFonts w:ascii="Aptos" w:hAnsi="Aptos"/>
                <w:b w:val="0"/>
                <w:color w:val="132238"/>
                <w:sz w:val="17"/>
              </w:rPr>
              <w:t>27 passed</w:t>
            </w:r>
          </w:p>
        </w:tc>
        <w:tc>
          <w:tcPr>
            <w:tcW w:type="dxa" w:w="5328"/>
            <w:vAlign w:val="center"/>
          </w:tcPr>
          <w:p>
            <w:r/>
            <w:r>
              <w:rPr>
                <w:rFonts w:ascii="Aptos" w:hAnsi="Aptos"/>
                <w:b w:val="0"/>
                <w:color w:val="132238"/>
                <w:sz w:val="17"/>
              </w:rPr>
              <w:t>Unit, scheduler and integration suites</w:t>
            </w:r>
          </w:p>
        </w:tc>
      </w:tr>
      <w:tr>
        <w:tc>
          <w:tcPr>
            <w:tcW w:type="dxa" w:w="2520"/>
            <w:vAlign w:val="center"/>
            <w:shd w:fill="E8F3F1"/>
          </w:tcPr>
          <w:p>
            <w:r/>
            <w:r>
              <w:rPr>
                <w:rFonts w:ascii="Aptos" w:hAnsi="Aptos"/>
                <w:b w:val="0"/>
                <w:color w:val="132238"/>
                <w:sz w:val="17"/>
              </w:rPr>
              <w:t>Gateway build</w:t>
            </w:r>
          </w:p>
        </w:tc>
        <w:tc>
          <w:tcPr>
            <w:tcW w:type="dxa" w:w="1728"/>
            <w:vAlign w:val="center"/>
            <w:shd w:fill="E8F3F1"/>
          </w:tcPr>
          <w:p>
            <w:r/>
            <w:r>
              <w:rPr>
                <w:rFonts w:ascii="Aptos" w:hAnsi="Aptos"/>
                <w:b w:val="0"/>
                <w:color w:val="132238"/>
                <w:sz w:val="17"/>
              </w:rPr>
              <w:t>Passed</w:t>
            </w:r>
          </w:p>
        </w:tc>
        <w:tc>
          <w:tcPr>
            <w:tcW w:type="dxa" w:w="5328"/>
            <w:vAlign w:val="center"/>
            <w:shd w:fill="E8F3F1"/>
          </w:tcPr>
          <w:p>
            <w:r/>
            <w:r>
              <w:rPr>
                <w:rFonts w:ascii="Aptos" w:hAnsi="Aptos"/>
                <w:b w:val="0"/>
                <w:color w:val="132238"/>
                <w:sz w:val="17"/>
              </w:rPr>
              <w:t>Maven package/test lifecycle</w:t>
            </w:r>
          </w:p>
        </w:tc>
      </w:tr>
      <w:tr>
        <w:tc>
          <w:tcPr>
            <w:tcW w:type="dxa" w:w="2520"/>
            <w:vAlign w:val="center"/>
          </w:tcPr>
          <w:p>
            <w:r/>
            <w:r>
              <w:rPr>
                <w:rFonts w:ascii="Aptos" w:hAnsi="Aptos"/>
                <w:b w:val="0"/>
                <w:color w:val="132238"/>
                <w:sz w:val="17"/>
              </w:rPr>
              <w:t>Angular build</w:t>
            </w:r>
          </w:p>
        </w:tc>
        <w:tc>
          <w:tcPr>
            <w:tcW w:type="dxa" w:w="1728"/>
            <w:vAlign w:val="center"/>
          </w:tcPr>
          <w:p>
            <w:r/>
            <w:r>
              <w:rPr>
                <w:rFonts w:ascii="Aptos" w:hAnsi="Aptos"/>
                <w:b w:val="0"/>
                <w:color w:val="132238"/>
                <w:sz w:val="17"/>
              </w:rPr>
              <w:t>Passed</w:t>
            </w:r>
          </w:p>
        </w:tc>
        <w:tc>
          <w:tcPr>
            <w:tcW w:type="dxa" w:w="5328"/>
            <w:vAlign w:val="center"/>
          </w:tcPr>
          <w:p>
            <w:r/>
            <w:r>
              <w:rPr>
                <w:rFonts w:ascii="Aptos" w:hAnsi="Aptos"/>
                <w:b w:val="0"/>
                <w:color w:val="132238"/>
                <w:sz w:val="17"/>
              </w:rPr>
              <w:t>Angular 21 production compilation</w:t>
            </w:r>
          </w:p>
        </w:tc>
      </w:tr>
      <w:tr>
        <w:tc>
          <w:tcPr>
            <w:tcW w:type="dxa" w:w="2520"/>
            <w:vAlign w:val="center"/>
            <w:shd w:fill="E8F3F1"/>
          </w:tcPr>
          <w:p>
            <w:r/>
            <w:r>
              <w:rPr>
                <w:rFonts w:ascii="Aptos" w:hAnsi="Aptos"/>
                <w:b w:val="0"/>
                <w:color w:val="132238"/>
                <w:sz w:val="17"/>
              </w:rPr>
              <w:t>Production npm audit</w:t>
            </w:r>
          </w:p>
        </w:tc>
        <w:tc>
          <w:tcPr>
            <w:tcW w:type="dxa" w:w="1728"/>
            <w:vAlign w:val="center"/>
            <w:shd w:fill="E8F3F1"/>
          </w:tcPr>
          <w:p>
            <w:r/>
            <w:r>
              <w:rPr>
                <w:rFonts w:ascii="Aptos" w:hAnsi="Aptos"/>
                <w:b w:val="0"/>
                <w:color w:val="132238"/>
                <w:sz w:val="17"/>
              </w:rPr>
              <w:t>0 findings</w:t>
            </w:r>
          </w:p>
        </w:tc>
        <w:tc>
          <w:tcPr>
            <w:tcW w:type="dxa" w:w="5328"/>
            <w:vAlign w:val="center"/>
            <w:shd w:fill="E8F3F1"/>
          </w:tcPr>
          <w:p>
            <w:r/>
            <w:r>
              <w:rPr>
                <w:rFonts w:ascii="Aptos" w:hAnsi="Aptos"/>
                <w:b w:val="0"/>
                <w:color w:val="132238"/>
                <w:sz w:val="17"/>
              </w:rPr>
              <w:t>npm audit --omit=dev --audit-level=moderate</w:t>
            </w:r>
          </w:p>
        </w:tc>
      </w:tr>
      <w:tr>
        <w:tc>
          <w:tcPr>
            <w:tcW w:type="dxa" w:w="2520"/>
            <w:vAlign w:val="center"/>
          </w:tcPr>
          <w:p>
            <w:r/>
            <w:r>
              <w:rPr>
                <w:rFonts w:ascii="Aptos" w:hAnsi="Aptos"/>
                <w:b w:val="0"/>
                <w:color w:val="132238"/>
                <w:sz w:val="17"/>
              </w:rPr>
              <w:t>Python validation</w:t>
            </w:r>
          </w:p>
        </w:tc>
        <w:tc>
          <w:tcPr>
            <w:tcW w:type="dxa" w:w="1728"/>
            <w:vAlign w:val="center"/>
          </w:tcPr>
          <w:p>
            <w:r/>
            <w:r>
              <w:rPr>
                <w:rFonts w:ascii="Aptos" w:hAnsi="Aptos"/>
                <w:b w:val="0"/>
                <w:color w:val="132238"/>
                <w:sz w:val="17"/>
              </w:rPr>
              <w:t>Passed</w:t>
            </w:r>
          </w:p>
        </w:tc>
        <w:tc>
          <w:tcPr>
            <w:tcW w:type="dxa" w:w="5328"/>
            <w:vAlign w:val="center"/>
          </w:tcPr>
          <w:p>
            <w:r/>
            <w:r>
              <w:rPr>
                <w:rFonts w:ascii="Aptos" w:hAnsi="Aptos"/>
                <w:b w:val="0"/>
                <w:color w:val="132238"/>
                <w:sz w:val="17"/>
              </w:rPr>
              <w:t>py_compile for reporting and notifications</w:t>
            </w:r>
          </w:p>
        </w:tc>
      </w:tr>
      <w:tr>
        <w:tc>
          <w:tcPr>
            <w:tcW w:type="dxa" w:w="2520"/>
            <w:vAlign w:val="center"/>
            <w:shd w:fill="E8F3F1"/>
          </w:tcPr>
          <w:p>
            <w:r/>
            <w:r>
              <w:rPr>
                <w:rFonts w:ascii="Aptos" w:hAnsi="Aptos"/>
                <w:b w:val="0"/>
                <w:color w:val="132238"/>
                <w:sz w:val="17"/>
              </w:rPr>
              <w:t>Docker images</w:t>
            </w:r>
          </w:p>
        </w:tc>
        <w:tc>
          <w:tcPr>
            <w:tcW w:type="dxa" w:w="1728"/>
            <w:vAlign w:val="center"/>
            <w:shd w:fill="E8F3F1"/>
          </w:tcPr>
          <w:p>
            <w:r/>
            <w:r>
              <w:rPr>
                <w:rFonts w:ascii="Aptos" w:hAnsi="Aptos"/>
                <w:b w:val="0"/>
                <w:color w:val="132238"/>
                <w:sz w:val="17"/>
              </w:rPr>
              <w:t>Built</w:t>
            </w:r>
          </w:p>
        </w:tc>
        <w:tc>
          <w:tcPr>
            <w:tcW w:type="dxa" w:w="5328"/>
            <w:vAlign w:val="center"/>
            <w:shd w:fill="E8F3F1"/>
          </w:tcPr>
          <w:p>
            <w:r/>
            <w:r>
              <w:rPr>
                <w:rFonts w:ascii="Aptos" w:hAnsi="Aptos"/>
                <w:b w:val="0"/>
                <w:color w:val="132238"/>
                <w:sz w:val="17"/>
              </w:rPr>
              <w:t>FD, gateway, UI, reporting and notification images</w:t>
            </w:r>
          </w:p>
        </w:tc>
      </w:tr>
      <w:tr>
        <w:tc>
          <w:tcPr>
            <w:tcW w:type="dxa" w:w="2520"/>
            <w:vAlign w:val="center"/>
          </w:tcPr>
          <w:p>
            <w:r/>
            <w:r>
              <w:rPr>
                <w:rFonts w:ascii="Aptos" w:hAnsi="Aptos"/>
                <w:b w:val="0"/>
                <w:color w:val="132238"/>
                <w:sz w:val="17"/>
              </w:rPr>
              <w:t>Container health</w:t>
            </w:r>
          </w:p>
        </w:tc>
        <w:tc>
          <w:tcPr>
            <w:tcW w:type="dxa" w:w="1728"/>
            <w:vAlign w:val="center"/>
          </w:tcPr>
          <w:p>
            <w:r/>
            <w:r>
              <w:rPr>
                <w:rFonts w:ascii="Aptos" w:hAnsi="Aptos"/>
                <w:b w:val="0"/>
                <w:color w:val="132238"/>
                <w:sz w:val="17"/>
              </w:rPr>
              <w:t>8 running</w:t>
            </w:r>
          </w:p>
        </w:tc>
        <w:tc>
          <w:tcPr>
            <w:tcW w:type="dxa" w:w="5328"/>
            <w:vAlign w:val="center"/>
          </w:tcPr>
          <w:p>
            <w:r/>
            <w:r>
              <w:rPr>
                <w:rFonts w:ascii="Aptos" w:hAnsi="Aptos"/>
                <w:b w:val="0"/>
                <w:color w:val="132238"/>
                <w:sz w:val="17"/>
              </w:rPr>
              <w:t>Application services, MySQL, Kafka and Mailpit</w:t>
            </w:r>
          </w:p>
        </w:tc>
      </w:tr>
      <w:tr>
        <w:tc>
          <w:tcPr>
            <w:tcW w:type="dxa" w:w="2520"/>
            <w:vAlign w:val="center"/>
            <w:shd w:fill="E8F3F1"/>
          </w:tcPr>
          <w:p>
            <w:r/>
            <w:r>
              <w:rPr>
                <w:rFonts w:ascii="Aptos" w:hAnsi="Aptos"/>
                <w:b w:val="0"/>
                <w:color w:val="132238"/>
                <w:sz w:val="17"/>
              </w:rPr>
              <w:t>End-to-end smoke</w:t>
            </w:r>
          </w:p>
        </w:tc>
        <w:tc>
          <w:tcPr>
            <w:tcW w:type="dxa" w:w="1728"/>
            <w:vAlign w:val="center"/>
            <w:shd w:fill="E8F3F1"/>
          </w:tcPr>
          <w:p>
            <w:r/>
            <w:r>
              <w:rPr>
                <w:rFonts w:ascii="Aptos" w:hAnsi="Aptos"/>
                <w:b w:val="0"/>
                <w:color w:val="132238"/>
                <w:sz w:val="17"/>
              </w:rPr>
              <w:t>Passed</w:t>
            </w:r>
          </w:p>
        </w:tc>
        <w:tc>
          <w:tcPr>
            <w:tcW w:type="dxa" w:w="5328"/>
            <w:vAlign w:val="center"/>
            <w:shd w:fill="E8F3F1"/>
          </w:tcPr>
          <w:p>
            <w:r/>
            <w:r>
              <w:rPr>
                <w:rFonts w:ascii="Aptos" w:hAnsi="Aptos"/>
                <w:b w:val="0"/>
                <w:color w:val="132238"/>
                <w:sz w:val="17"/>
              </w:rPr>
              <w:t>Login, products, create, transactions, batch, email, reports</w:t>
            </w:r>
          </w:p>
        </w:tc>
      </w:tr>
    </w:tbl>
    <w:p/>
    <w:p>
      <w:pPr>
        <w:pStyle w:val="Heading2"/>
      </w:pPr>
      <w:r>
        <w:t>Known development-only audit note</w:t>
      </w:r>
    </w:p>
    <w:p>
      <w:r>
        <w:t>The full npm audit reports seven moderate findings through development-server tooling. The production dependency audit is clean. These packages are not shipped in the Nginx runtime image; upgrades should still be monitored in future maintenance.</w:t>
      </w:r>
    </w:p>
    <w:p>
      <w:r>
        <w:br w:type="page"/>
      </w:r>
    </w:p>
    <w:p>
      <w:r>
        <w:rPr>
          <w:b/>
          <w:color w:val="D4A72C"/>
          <w:sz w:val="18"/>
        </w:rPr>
        <w:t>11 • OPERATIONS</w:t>
      </w:r>
    </w:p>
    <w:p>
      <w:pPr>
        <w:pStyle w:val="Heading1"/>
      </w:pPr>
      <w:r>
        <w:t>Containers and Kubernetes</w:t>
      </w:r>
    </w:p>
    <w:p>
      <w:pPr>
        <w:spacing w:before="80" w:after="140"/>
        <w:ind w:left="317" w:right="317"/>
        <w:shd w:fill="EEF2F5"/>
      </w:pPr>
      <w:r>
        <w:rPr>
          <w:rFonts w:ascii="Cascadia Mono" w:hAnsi="Cascadia Mono"/>
          <w:color w:val="132238"/>
          <w:sz w:val="16"/>
        </w:rPr>
        <w:t>git clone https://github.com/krishna1211711/fixed-deposit-microservice.git</w:t>
        <w:br/>
      </w:r>
      <w:r>
        <w:rPr>
          <w:rFonts w:ascii="Cascadia Mono" w:hAnsi="Cascadia Mono"/>
          <w:color w:val="132238"/>
          <w:sz w:val="16"/>
        </w:rPr>
        <w:t>cd fixed-deposit-microservice</w:t>
        <w:br/>
      </w:r>
      <w:r>
        <w:rPr>
          <w:rFonts w:ascii="Cascadia Mono" w:hAnsi="Cascadia Mono"/>
          <w:color w:val="132238"/>
          <w:sz w:val="16"/>
        </w:rPr>
        <w:t>copy .env.example .env        # optional: replace demo values</w:t>
        <w:br/>
      </w:r>
      <w:r>
        <w:rPr>
          <w:rFonts w:ascii="Cascadia Mono" w:hAnsi="Cascadia Mono"/>
          <w:color w:val="132238"/>
          <w:sz w:val="16"/>
        </w:rPr>
        <w:t>docker compose up --build -d</w:t>
        <w:br/>
      </w:r>
      <w:r>
        <w:rPr>
          <w:rFonts w:ascii="Cascadia Mono" w:hAnsi="Cascadia Mono"/>
          <w:color w:val="132238"/>
          <w:sz w:val="16"/>
        </w:rPr>
        <w:t>docker compose ps</w:t>
        <w:br/>
      </w:r>
    </w:p>
    <w:tbl>
      <w:tblPr>
        <w:tblStyle w:val="TableGrid"/>
        <w:tblW w:type="auto" w:w="0"/>
        <w:jc w:val="center"/>
        <w:tblLook w:firstColumn="1" w:firstRow="1" w:lastColumn="0" w:lastRow="0" w:noHBand="0" w:noVBand="1" w:val="04A0"/>
      </w:tblPr>
      <w:tblGrid>
        <w:gridCol w:w="4997"/>
        <w:gridCol w:w="4997"/>
      </w:tblGrid>
      <w:tr>
        <w:tc>
          <w:tcPr>
            <w:tcW w:type="dxa" w:w="4320"/>
            <w:vAlign w:val="center"/>
            <w:shd w:fill="0F766E"/>
          </w:tcPr>
          <w:p>
            <w:r/>
            <w:r>
              <w:rPr>
                <w:rFonts w:ascii="Aptos" w:hAnsi="Aptos"/>
                <w:b/>
                <w:color w:val="FFFFFF"/>
                <w:sz w:val="18"/>
              </w:rPr>
              <w:t>URL</w:t>
            </w:r>
          </w:p>
        </w:tc>
        <w:tc>
          <w:tcPr>
            <w:tcW w:type="dxa" w:w="5328"/>
            <w:vAlign w:val="center"/>
            <w:shd w:fill="0F766E"/>
          </w:tcPr>
          <w:p>
            <w:r/>
            <w:r>
              <w:rPr>
                <w:rFonts w:ascii="Aptos" w:hAnsi="Aptos"/>
                <w:b/>
                <w:color w:val="FFFFFF"/>
                <w:sz w:val="18"/>
              </w:rPr>
              <w:t>Purpose</w:t>
            </w:r>
          </w:p>
        </w:tc>
      </w:tr>
      <w:tr>
        <w:tc>
          <w:tcPr>
            <w:tcW w:type="dxa" w:w="4320"/>
            <w:vAlign w:val="center"/>
          </w:tcPr>
          <w:p>
            <w:r/>
            <w:r>
              <w:rPr>
                <w:rFonts w:ascii="Aptos" w:hAnsi="Aptos"/>
                <w:b w:val="0"/>
                <w:color w:val="132238"/>
                <w:sz w:val="17"/>
              </w:rPr>
              <w:t>http://localhost:4200</w:t>
            </w:r>
          </w:p>
        </w:tc>
        <w:tc>
          <w:tcPr>
            <w:tcW w:type="dxa" w:w="5328"/>
            <w:vAlign w:val="center"/>
          </w:tcPr>
          <w:p>
            <w:r/>
            <w:r>
              <w:rPr>
                <w:rFonts w:ascii="Aptos" w:hAnsi="Aptos"/>
                <w:b w:val="0"/>
                <w:color w:val="132238"/>
                <w:sz w:val="17"/>
              </w:rPr>
              <w:t>Angular demonstration UI</w:t>
            </w:r>
          </w:p>
        </w:tc>
      </w:tr>
      <w:tr>
        <w:tc>
          <w:tcPr>
            <w:tcW w:type="dxa" w:w="4320"/>
            <w:vAlign w:val="center"/>
            <w:shd w:fill="E8F3F1"/>
          </w:tcPr>
          <w:p>
            <w:r/>
            <w:r>
              <w:rPr>
                <w:rFonts w:ascii="Aptos" w:hAnsi="Aptos"/>
                <w:b w:val="0"/>
                <w:color w:val="132238"/>
                <w:sz w:val="17"/>
              </w:rPr>
              <w:t>http://localhost:9090</w:t>
            </w:r>
          </w:p>
        </w:tc>
        <w:tc>
          <w:tcPr>
            <w:tcW w:type="dxa" w:w="5328"/>
            <w:vAlign w:val="center"/>
            <w:shd w:fill="E8F3F1"/>
          </w:tcPr>
          <w:p>
            <w:r/>
            <w:r>
              <w:rPr>
                <w:rFonts w:ascii="Aptos" w:hAnsi="Aptos"/>
                <w:b w:val="0"/>
                <w:color w:val="132238"/>
                <w:sz w:val="17"/>
              </w:rPr>
              <w:t>API gateway</w:t>
            </w:r>
          </w:p>
        </w:tc>
      </w:tr>
      <w:tr>
        <w:tc>
          <w:tcPr>
            <w:tcW w:type="dxa" w:w="4320"/>
            <w:vAlign w:val="center"/>
          </w:tcPr>
          <w:p>
            <w:r/>
            <w:r>
              <w:rPr>
                <w:rFonts w:ascii="Aptos" w:hAnsi="Aptos"/>
                <w:b w:val="0"/>
                <w:color w:val="132238"/>
                <w:sz w:val="17"/>
              </w:rPr>
              <w:t>http://localhost:8080/swagger-ui.html</w:t>
            </w:r>
          </w:p>
        </w:tc>
        <w:tc>
          <w:tcPr>
            <w:tcW w:type="dxa" w:w="5328"/>
            <w:vAlign w:val="center"/>
          </w:tcPr>
          <w:p>
            <w:r/>
            <w:r>
              <w:rPr>
                <w:rFonts w:ascii="Aptos" w:hAnsi="Aptos"/>
                <w:b w:val="0"/>
                <w:color w:val="132238"/>
                <w:sz w:val="17"/>
              </w:rPr>
              <w:t>FD API documentation</w:t>
            </w:r>
          </w:p>
        </w:tc>
      </w:tr>
      <w:tr>
        <w:tc>
          <w:tcPr>
            <w:tcW w:type="dxa" w:w="4320"/>
            <w:vAlign w:val="center"/>
            <w:shd w:fill="E8F3F1"/>
          </w:tcPr>
          <w:p>
            <w:r/>
            <w:r>
              <w:rPr>
                <w:rFonts w:ascii="Aptos" w:hAnsi="Aptos"/>
                <w:b w:val="0"/>
                <w:color w:val="132238"/>
                <w:sz w:val="17"/>
              </w:rPr>
              <w:t>http://localhost:8025</w:t>
            </w:r>
          </w:p>
        </w:tc>
        <w:tc>
          <w:tcPr>
            <w:tcW w:type="dxa" w:w="5328"/>
            <w:vAlign w:val="center"/>
            <w:shd w:fill="E8F3F1"/>
          </w:tcPr>
          <w:p>
            <w:r/>
            <w:r>
              <w:rPr>
                <w:rFonts w:ascii="Aptos" w:hAnsi="Aptos"/>
                <w:b w:val="0"/>
                <w:color w:val="132238"/>
                <w:sz w:val="17"/>
              </w:rPr>
              <w:t>Mailpit demonstration inbox</w:t>
            </w:r>
          </w:p>
        </w:tc>
      </w:tr>
      <w:tr>
        <w:tc>
          <w:tcPr>
            <w:tcW w:type="dxa" w:w="4320"/>
            <w:vAlign w:val="center"/>
          </w:tcPr>
          <w:p>
            <w:r/>
            <w:r>
              <w:rPr>
                <w:rFonts w:ascii="Aptos" w:hAnsi="Aptos"/>
                <w:b w:val="0"/>
                <w:color w:val="132238"/>
                <w:sz w:val="17"/>
              </w:rPr>
              <w:t>http://localhost:9090/reports/health</w:t>
            </w:r>
          </w:p>
        </w:tc>
        <w:tc>
          <w:tcPr>
            <w:tcW w:type="dxa" w:w="5328"/>
            <w:vAlign w:val="center"/>
          </w:tcPr>
          <w:p>
            <w:r/>
            <w:r>
              <w:rPr>
                <w:rFonts w:ascii="Aptos" w:hAnsi="Aptos"/>
                <w:b w:val="0"/>
                <w:color w:val="132238"/>
                <w:sz w:val="17"/>
              </w:rPr>
              <w:t>Reporting health through gateway</w:t>
            </w:r>
          </w:p>
        </w:tc>
      </w:tr>
    </w:tbl>
    <w:p/>
    <w:p>
      <w:r>
        <w:t>Kubernetes manifests include service/deployment definitions, ConfigMaps, Secret references and HPAs for the gateway, FD service and report service. Images and a managed database must be supplied by the selected cloud environment.</w:t>
      </w:r>
    </w:p>
    <w:p>
      <w:r>
        <w:br w:type="page"/>
      </w:r>
    </w:p>
    <w:p>
      <w:r>
        <w:rPr>
          <w:b/>
          <w:color w:val="D4A72C"/>
          <w:sz w:val="18"/>
        </w:rPr>
        <w:t>12 • TEAM 1</w:t>
      </w:r>
    </w:p>
    <w:p>
      <w:pPr>
        <w:pStyle w:val="Heading1"/>
      </w:pPr>
      <w:r>
        <w:t>Cross-team integration</w:t>
      </w:r>
    </w:p>
    <w:p>
      <w:r>
        <w:t>The Team-1 repository currently provides an ER diagram, a shared Swagger contract and a work-distribution workbook, but no runnable Auth, Customer, Calculation, Product or Transaction services. The FD module therefore preserves a stable adapter boundary and documents the exact data still required.</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0F766E"/>
          </w:tcPr>
          <w:p>
            <w:r/>
            <w:r>
              <w:rPr>
                <w:rFonts w:ascii="Aptos" w:hAnsi="Aptos"/>
                <w:b/>
                <w:color w:val="FFFFFF"/>
                <w:sz w:val="18"/>
              </w:rPr>
              <w:t>Dependency</w:t>
            </w:r>
          </w:p>
        </w:tc>
        <w:tc>
          <w:tcPr>
            <w:tcW w:type="dxa" w:w="3456"/>
            <w:vAlign w:val="center"/>
            <w:shd w:fill="0F766E"/>
          </w:tcPr>
          <w:p>
            <w:r/>
            <w:r>
              <w:rPr>
                <w:rFonts w:ascii="Aptos" w:hAnsi="Aptos"/>
                <w:b/>
                <w:color w:val="FFFFFF"/>
                <w:sz w:val="18"/>
              </w:rPr>
              <w:t>Current strategy</w:t>
            </w:r>
          </w:p>
        </w:tc>
        <w:tc>
          <w:tcPr>
            <w:tcW w:type="dxa" w:w="4680"/>
            <w:vAlign w:val="center"/>
            <w:shd w:fill="0F766E"/>
          </w:tcPr>
          <w:p>
            <w:r/>
            <w:r>
              <w:rPr>
                <w:rFonts w:ascii="Aptos" w:hAnsi="Aptos"/>
                <w:b/>
                <w:color w:val="FFFFFF"/>
                <w:sz w:val="18"/>
              </w:rPr>
              <w:t>Required from owning group</w:t>
            </w:r>
          </w:p>
        </w:tc>
      </w:tr>
      <w:tr>
        <w:tc>
          <w:tcPr>
            <w:tcW w:type="dxa" w:w="1728"/>
            <w:vAlign w:val="center"/>
          </w:tcPr>
          <w:p>
            <w:r/>
            <w:r>
              <w:rPr>
                <w:rFonts w:ascii="Aptos" w:hAnsi="Aptos"/>
                <w:b w:val="0"/>
                <w:color w:val="132238"/>
                <w:sz w:val="17"/>
              </w:rPr>
              <w:t>Auth</w:t>
            </w:r>
          </w:p>
        </w:tc>
        <w:tc>
          <w:tcPr>
            <w:tcW w:type="dxa" w:w="3456"/>
            <w:vAlign w:val="center"/>
          </w:tcPr>
          <w:p>
            <w:r/>
            <w:r>
              <w:rPr>
                <w:rFonts w:ascii="Aptos" w:hAnsi="Aptos"/>
                <w:b w:val="0"/>
                <w:color w:val="132238"/>
                <w:sz w:val="17"/>
              </w:rPr>
              <w:t>Local JWT issuer; gateway validates same secret</w:t>
            </w:r>
          </w:p>
        </w:tc>
        <w:tc>
          <w:tcPr>
            <w:tcW w:type="dxa" w:w="4680"/>
            <w:vAlign w:val="center"/>
          </w:tcPr>
          <w:p>
            <w:r/>
            <w:r>
              <w:rPr>
                <w:rFonts w:ascii="Aptos" w:hAnsi="Aptos"/>
                <w:b w:val="0"/>
                <w:color w:val="132238"/>
                <w:sz w:val="17"/>
              </w:rPr>
              <w:t>Issuer URL, claims, keys/JWKS and roles</w:t>
            </w:r>
          </w:p>
        </w:tc>
      </w:tr>
      <w:tr>
        <w:tc>
          <w:tcPr>
            <w:tcW w:type="dxa" w:w="1728"/>
            <w:vAlign w:val="center"/>
            <w:shd w:fill="E8F3F1"/>
          </w:tcPr>
          <w:p>
            <w:r/>
            <w:r>
              <w:rPr>
                <w:rFonts w:ascii="Aptos" w:hAnsi="Aptos"/>
                <w:b w:val="0"/>
                <w:color w:val="132238"/>
                <w:sz w:val="17"/>
              </w:rPr>
              <w:t>Customer</w:t>
            </w:r>
          </w:p>
        </w:tc>
        <w:tc>
          <w:tcPr>
            <w:tcW w:type="dxa" w:w="3456"/>
            <w:vAlign w:val="center"/>
            <w:shd w:fill="E8F3F1"/>
          </w:tcPr>
          <w:p>
            <w:r/>
            <w:r>
              <w:rPr>
                <w:rFonts w:ascii="Aptos" w:hAnsi="Aptos"/>
                <w:b w:val="0"/>
                <w:color w:val="132238"/>
                <w:sz w:val="17"/>
              </w:rPr>
              <w:t>Local customer_profile for deterministic demo</w:t>
            </w:r>
          </w:p>
        </w:tc>
        <w:tc>
          <w:tcPr>
            <w:tcW w:type="dxa" w:w="4680"/>
            <w:vAlign w:val="center"/>
            <w:shd w:fill="E8F3F1"/>
          </w:tcPr>
          <w:p>
            <w:r/>
            <w:r>
              <w:rPr>
                <w:rFonts w:ascii="Aptos" w:hAnsi="Aptos"/>
                <w:b w:val="0"/>
                <w:color w:val="132238"/>
                <w:sz w:val="17"/>
              </w:rPr>
              <w:t>Lookup endpoint, success/error payloads</w:t>
            </w:r>
          </w:p>
        </w:tc>
      </w:tr>
      <w:tr>
        <w:tc>
          <w:tcPr>
            <w:tcW w:type="dxa" w:w="1728"/>
            <w:vAlign w:val="center"/>
          </w:tcPr>
          <w:p>
            <w:r/>
            <w:r>
              <w:rPr>
                <w:rFonts w:ascii="Aptos" w:hAnsi="Aptos"/>
                <w:b w:val="0"/>
                <w:color w:val="132238"/>
                <w:sz w:val="17"/>
              </w:rPr>
              <w:t>Calculation</w:t>
            </w:r>
          </w:p>
        </w:tc>
        <w:tc>
          <w:tcPr>
            <w:tcW w:type="dxa" w:w="3456"/>
            <w:vAlign w:val="center"/>
          </w:tcPr>
          <w:p>
            <w:r/>
            <w:r>
              <w:rPr>
                <w:rFonts w:ascii="Aptos" w:hAnsi="Aptos"/>
                <w:b w:val="0"/>
                <w:color w:val="132238"/>
                <w:sz w:val="17"/>
              </w:rPr>
              <w:t>Built-in compound/simple engine</w:t>
            </w:r>
          </w:p>
        </w:tc>
        <w:tc>
          <w:tcPr>
            <w:tcW w:type="dxa" w:w="4680"/>
            <w:vAlign w:val="center"/>
          </w:tcPr>
          <w:p>
            <w:r/>
            <w:r>
              <w:rPr>
                <w:rFonts w:ascii="Aptos" w:hAnsi="Aptos"/>
                <w:b w:val="0"/>
                <w:color w:val="132238"/>
                <w:sz w:val="17"/>
              </w:rPr>
              <w:t>calcId schema and rate response contract</w:t>
            </w:r>
          </w:p>
        </w:tc>
      </w:tr>
      <w:tr>
        <w:tc>
          <w:tcPr>
            <w:tcW w:type="dxa" w:w="1728"/>
            <w:vAlign w:val="center"/>
            <w:shd w:fill="E8F3F1"/>
          </w:tcPr>
          <w:p>
            <w:r/>
            <w:r>
              <w:rPr>
                <w:rFonts w:ascii="Aptos" w:hAnsi="Aptos"/>
                <w:b w:val="0"/>
                <w:color w:val="132238"/>
                <w:sz w:val="17"/>
              </w:rPr>
              <w:t>Product</w:t>
            </w:r>
          </w:p>
        </w:tc>
        <w:tc>
          <w:tcPr>
            <w:tcW w:type="dxa" w:w="3456"/>
            <w:vAlign w:val="center"/>
            <w:shd w:fill="E8F3F1"/>
          </w:tcPr>
          <w:p>
            <w:r/>
            <w:r>
              <w:rPr>
                <w:rFonts w:ascii="Aptos" w:hAnsi="Aptos"/>
                <w:b w:val="0"/>
                <w:color w:val="132238"/>
                <w:sz w:val="17"/>
              </w:rPr>
              <w:t>Local product catalogue</w:t>
            </w:r>
          </w:p>
        </w:tc>
        <w:tc>
          <w:tcPr>
            <w:tcW w:type="dxa" w:w="4680"/>
            <w:vAlign w:val="center"/>
            <w:shd w:fill="E8F3F1"/>
          </w:tcPr>
          <w:p>
            <w:r/>
            <w:r>
              <w:rPr>
                <w:rFonts w:ascii="Aptos" w:hAnsi="Aptos"/>
                <w:b w:val="0"/>
                <w:color w:val="132238"/>
                <w:sz w:val="17"/>
              </w:rPr>
              <w:t>Product identifiers, currencies and term/rate fields</w:t>
            </w:r>
          </w:p>
        </w:tc>
      </w:tr>
      <w:tr>
        <w:tc>
          <w:tcPr>
            <w:tcW w:type="dxa" w:w="1728"/>
            <w:vAlign w:val="center"/>
          </w:tcPr>
          <w:p>
            <w:r/>
            <w:r>
              <w:rPr>
                <w:rFonts w:ascii="Aptos" w:hAnsi="Aptos"/>
                <w:b w:val="0"/>
                <w:color w:val="132238"/>
                <w:sz w:val="17"/>
              </w:rPr>
              <w:t>Transactions/GL</w:t>
            </w:r>
          </w:p>
        </w:tc>
        <w:tc>
          <w:tcPr>
            <w:tcW w:type="dxa" w:w="3456"/>
            <w:vAlign w:val="center"/>
          </w:tcPr>
          <w:p>
            <w:r/>
            <w:r>
              <w:rPr>
                <w:rFonts w:ascii="Aptos" w:hAnsi="Aptos"/>
                <w:b w:val="0"/>
                <w:color w:val="132238"/>
                <w:sz w:val="17"/>
              </w:rPr>
              <w:t>Local immutable ledger entries</w:t>
            </w:r>
          </w:p>
        </w:tc>
        <w:tc>
          <w:tcPr>
            <w:tcW w:type="dxa" w:w="4680"/>
            <w:vAlign w:val="center"/>
          </w:tcPr>
          <w:p>
            <w:r/>
            <w:r>
              <w:rPr>
                <w:rFonts w:ascii="Aptos" w:hAnsi="Aptos"/>
                <w:b w:val="0"/>
                <w:color w:val="132238"/>
                <w:sz w:val="17"/>
              </w:rPr>
              <w:t>Posting endpoint, idempotency and GL account rules</w:t>
            </w:r>
          </w:p>
        </w:tc>
      </w:tr>
    </w:tbl>
    <w:p/>
    <w:p>
      <w:r>
        <w:t>The shared POST /api/v1/accounts request contains accountName and calcId, which is not sufficient to open an FD without customer, product, amount, term, currency and branch data. This mismatch is explicitly recorded rather than silently guessing financial values.</w:t>
      </w:r>
    </w:p>
    <w:p>
      <w:r>
        <w:br w:type="page"/>
      </w:r>
    </w:p>
    <w:p>
      <w:r>
        <w:rPr>
          <w:b/>
          <w:color w:val="D4A72C"/>
          <w:sz w:val="18"/>
        </w:rPr>
        <w:t>13 • EVALUATION</w:t>
      </w:r>
    </w:p>
    <w:p>
      <w:pPr>
        <w:pStyle w:val="Heading1"/>
      </w:pPr>
      <w:r>
        <w:t>Demonstration plan</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shd w:fill="0F766E"/>
          </w:tcPr>
          <w:p>
            <w:r/>
            <w:r>
              <w:rPr>
                <w:rFonts w:ascii="Aptos" w:hAnsi="Aptos"/>
                <w:b/>
                <w:color w:val="FFFFFF"/>
                <w:sz w:val="18"/>
              </w:rPr>
              <w:t>Minute</w:t>
            </w:r>
          </w:p>
        </w:tc>
        <w:tc>
          <w:tcPr>
            <w:tcW w:type="dxa" w:w="4320"/>
            <w:vAlign w:val="center"/>
            <w:shd w:fill="0F766E"/>
          </w:tcPr>
          <w:p>
            <w:r/>
            <w:r>
              <w:rPr>
                <w:rFonts w:ascii="Aptos" w:hAnsi="Aptos"/>
                <w:b/>
                <w:color w:val="FFFFFF"/>
                <w:sz w:val="18"/>
              </w:rPr>
              <w:t>Action</w:t>
            </w:r>
          </w:p>
        </w:tc>
        <w:tc>
          <w:tcPr>
            <w:tcW w:type="dxa" w:w="4176"/>
            <w:vAlign w:val="center"/>
            <w:shd w:fill="0F766E"/>
          </w:tcPr>
          <w:p>
            <w:r/>
            <w:r>
              <w:rPr>
                <w:rFonts w:ascii="Aptos" w:hAnsi="Aptos"/>
                <w:b/>
                <w:color w:val="FFFFFF"/>
                <w:sz w:val="18"/>
              </w:rPr>
              <w:t>Evidence shown</w:t>
            </w:r>
          </w:p>
        </w:tc>
      </w:tr>
      <w:tr>
        <w:tc>
          <w:tcPr>
            <w:tcW w:type="dxa" w:w="1152"/>
            <w:vAlign w:val="center"/>
          </w:tcPr>
          <w:p>
            <w:r/>
            <w:r>
              <w:rPr>
                <w:rFonts w:ascii="Aptos" w:hAnsi="Aptos"/>
                <w:b w:val="0"/>
                <w:color w:val="132238"/>
                <w:sz w:val="17"/>
              </w:rPr>
              <w:t>0–1</w:t>
            </w:r>
          </w:p>
        </w:tc>
        <w:tc>
          <w:tcPr>
            <w:tcW w:type="dxa" w:w="4320"/>
            <w:vAlign w:val="center"/>
          </w:tcPr>
          <w:p>
            <w:r/>
            <w:r>
              <w:rPr>
                <w:rFonts w:ascii="Aptos" w:hAnsi="Aptos"/>
                <w:b w:val="0"/>
                <w:color w:val="132238"/>
                <w:sz w:val="17"/>
              </w:rPr>
              <w:t>Start Compose and show healthy services</w:t>
            </w:r>
          </w:p>
        </w:tc>
        <w:tc>
          <w:tcPr>
            <w:tcW w:type="dxa" w:w="4176"/>
            <w:vAlign w:val="center"/>
          </w:tcPr>
          <w:p>
            <w:r/>
            <w:r>
              <w:rPr>
                <w:rFonts w:ascii="Aptos" w:hAnsi="Aptos"/>
                <w:b w:val="0"/>
                <w:color w:val="132238"/>
                <w:sz w:val="17"/>
              </w:rPr>
              <w:t>docker compose ps</w:t>
            </w:r>
          </w:p>
        </w:tc>
      </w:tr>
      <w:tr>
        <w:tc>
          <w:tcPr>
            <w:tcW w:type="dxa" w:w="1152"/>
            <w:vAlign w:val="center"/>
            <w:shd w:fill="E8F3F1"/>
          </w:tcPr>
          <w:p>
            <w:r/>
            <w:r>
              <w:rPr>
                <w:rFonts w:ascii="Aptos" w:hAnsi="Aptos"/>
                <w:b w:val="0"/>
                <w:color w:val="132238"/>
                <w:sz w:val="17"/>
              </w:rPr>
              <w:t>1–2</w:t>
            </w:r>
          </w:p>
        </w:tc>
        <w:tc>
          <w:tcPr>
            <w:tcW w:type="dxa" w:w="4320"/>
            <w:vAlign w:val="center"/>
            <w:shd w:fill="E8F3F1"/>
          </w:tcPr>
          <w:p>
            <w:r/>
            <w:r>
              <w:rPr>
                <w:rFonts w:ascii="Aptos" w:hAnsi="Aptos"/>
                <w:b w:val="0"/>
                <w:color w:val="132238"/>
                <w:sz w:val="17"/>
              </w:rPr>
              <w:t>Login as customer/officer/admin</w:t>
            </w:r>
          </w:p>
        </w:tc>
        <w:tc>
          <w:tcPr>
            <w:tcW w:type="dxa" w:w="4176"/>
            <w:vAlign w:val="center"/>
            <w:shd w:fill="E8F3F1"/>
          </w:tcPr>
          <w:p>
            <w:r/>
            <w:r>
              <w:rPr>
                <w:rFonts w:ascii="Aptos" w:hAnsi="Aptos"/>
                <w:b w:val="0"/>
                <w:color w:val="132238"/>
                <w:sz w:val="17"/>
              </w:rPr>
              <w:t>Role-specific navigation</w:t>
            </w:r>
          </w:p>
        </w:tc>
      </w:tr>
      <w:tr>
        <w:tc>
          <w:tcPr>
            <w:tcW w:type="dxa" w:w="1152"/>
            <w:vAlign w:val="center"/>
          </w:tcPr>
          <w:p>
            <w:r/>
            <w:r>
              <w:rPr>
                <w:rFonts w:ascii="Aptos" w:hAnsi="Aptos"/>
                <w:b w:val="0"/>
                <w:color w:val="132238"/>
                <w:sz w:val="17"/>
              </w:rPr>
              <w:t>2–3</w:t>
            </w:r>
          </w:p>
        </w:tc>
        <w:tc>
          <w:tcPr>
            <w:tcW w:type="dxa" w:w="4320"/>
            <w:vAlign w:val="center"/>
          </w:tcPr>
          <w:p>
            <w:r/>
            <w:r>
              <w:rPr>
                <w:rFonts w:ascii="Aptos" w:hAnsi="Aptos"/>
                <w:b w:val="0"/>
                <w:color w:val="132238"/>
                <w:sz w:val="17"/>
              </w:rPr>
              <w:t>Simulate compound interest</w:t>
            </w:r>
          </w:p>
        </w:tc>
        <w:tc>
          <w:tcPr>
            <w:tcW w:type="dxa" w:w="4176"/>
            <w:vAlign w:val="center"/>
          </w:tcPr>
          <w:p>
            <w:r/>
            <w:r>
              <w:rPr>
                <w:rFonts w:ascii="Aptos" w:hAnsi="Aptos"/>
                <w:b w:val="0"/>
                <w:color w:val="132238"/>
                <w:sz w:val="17"/>
              </w:rPr>
              <w:t>Maturity and interest result</w:t>
            </w:r>
          </w:p>
        </w:tc>
      </w:tr>
      <w:tr>
        <w:tc>
          <w:tcPr>
            <w:tcW w:type="dxa" w:w="1152"/>
            <w:vAlign w:val="center"/>
            <w:shd w:fill="E8F3F1"/>
          </w:tcPr>
          <w:p>
            <w:r/>
            <w:r>
              <w:rPr>
                <w:rFonts w:ascii="Aptos" w:hAnsi="Aptos"/>
                <w:b w:val="0"/>
                <w:color w:val="132238"/>
                <w:sz w:val="17"/>
              </w:rPr>
              <w:t>3–5</w:t>
            </w:r>
          </w:p>
        </w:tc>
        <w:tc>
          <w:tcPr>
            <w:tcW w:type="dxa" w:w="4320"/>
            <w:vAlign w:val="center"/>
            <w:shd w:fill="E8F3F1"/>
          </w:tcPr>
          <w:p>
            <w:r/>
            <w:r>
              <w:rPr>
                <w:rFonts w:ascii="Aptos" w:hAnsi="Aptos"/>
                <w:b w:val="0"/>
                <w:color w:val="132238"/>
                <w:sz w:val="17"/>
              </w:rPr>
              <w:t>Create an FD as officer</w:t>
            </w:r>
          </w:p>
        </w:tc>
        <w:tc>
          <w:tcPr>
            <w:tcW w:type="dxa" w:w="4176"/>
            <w:vAlign w:val="center"/>
            <w:shd w:fill="E8F3F1"/>
          </w:tcPr>
          <w:p>
            <w:r/>
            <w:r>
              <w:rPr>
                <w:rFonts w:ascii="Aptos" w:hAnsi="Aptos"/>
                <w:b w:val="0"/>
                <w:color w:val="132238"/>
                <w:sz w:val="17"/>
              </w:rPr>
              <w:t>Account number + opening transaction</w:t>
            </w:r>
          </w:p>
        </w:tc>
      </w:tr>
      <w:tr>
        <w:tc>
          <w:tcPr>
            <w:tcW w:type="dxa" w:w="1152"/>
            <w:vAlign w:val="center"/>
          </w:tcPr>
          <w:p>
            <w:r/>
            <w:r>
              <w:rPr>
                <w:rFonts w:ascii="Aptos" w:hAnsi="Aptos"/>
                <w:b w:val="0"/>
                <w:color w:val="132238"/>
                <w:sz w:val="17"/>
              </w:rPr>
              <w:t>5–6</w:t>
            </w:r>
          </w:p>
        </w:tc>
        <w:tc>
          <w:tcPr>
            <w:tcW w:type="dxa" w:w="4320"/>
            <w:vAlign w:val="center"/>
          </w:tcPr>
          <w:p>
            <w:r/>
            <w:r>
              <w:rPr>
                <w:rFonts w:ascii="Aptos" w:hAnsi="Aptos"/>
                <w:b w:val="0"/>
                <w:color w:val="132238"/>
                <w:sz w:val="17"/>
              </w:rPr>
              <w:t>View it as owning customer</w:t>
            </w:r>
          </w:p>
        </w:tc>
        <w:tc>
          <w:tcPr>
            <w:tcW w:type="dxa" w:w="4176"/>
            <w:vAlign w:val="center"/>
          </w:tcPr>
          <w:p>
            <w:r/>
            <w:r>
              <w:rPr>
                <w:rFonts w:ascii="Aptos" w:hAnsi="Aptos"/>
                <w:b w:val="0"/>
                <w:color w:val="132238"/>
                <w:sz w:val="17"/>
              </w:rPr>
              <w:t>Ownership and transaction history</w:t>
            </w:r>
          </w:p>
        </w:tc>
      </w:tr>
      <w:tr>
        <w:tc>
          <w:tcPr>
            <w:tcW w:type="dxa" w:w="1152"/>
            <w:vAlign w:val="center"/>
            <w:shd w:fill="E8F3F1"/>
          </w:tcPr>
          <w:p>
            <w:r/>
            <w:r>
              <w:rPr>
                <w:rFonts w:ascii="Aptos" w:hAnsi="Aptos"/>
                <w:b w:val="0"/>
                <w:color w:val="132238"/>
                <w:sz w:val="17"/>
              </w:rPr>
              <w:t>6–7</w:t>
            </w:r>
          </w:p>
        </w:tc>
        <w:tc>
          <w:tcPr>
            <w:tcW w:type="dxa" w:w="4320"/>
            <w:vAlign w:val="center"/>
            <w:shd w:fill="E8F3F1"/>
          </w:tcPr>
          <w:p>
            <w:r/>
            <w:r>
              <w:rPr>
                <w:rFonts w:ascii="Aptos" w:hAnsi="Aptos"/>
                <w:b w:val="0"/>
                <w:color w:val="132238"/>
                <w:sz w:val="17"/>
              </w:rPr>
              <w:t>Run interest/time travel as admin</w:t>
            </w:r>
          </w:p>
        </w:tc>
        <w:tc>
          <w:tcPr>
            <w:tcW w:type="dxa" w:w="4176"/>
            <w:vAlign w:val="center"/>
            <w:shd w:fill="E8F3F1"/>
          </w:tcPr>
          <w:p>
            <w:r/>
            <w:r>
              <w:rPr>
                <w:rFonts w:ascii="Aptos" w:hAnsi="Aptos"/>
                <w:b w:val="0"/>
                <w:color w:val="132238"/>
                <w:sz w:val="17"/>
              </w:rPr>
              <w:t>Accrual/lifecycle changes</w:t>
            </w:r>
          </w:p>
        </w:tc>
      </w:tr>
      <w:tr>
        <w:tc>
          <w:tcPr>
            <w:tcW w:type="dxa" w:w="1152"/>
            <w:vAlign w:val="center"/>
          </w:tcPr>
          <w:p>
            <w:r/>
            <w:r>
              <w:rPr>
                <w:rFonts w:ascii="Aptos" w:hAnsi="Aptos"/>
                <w:b w:val="0"/>
                <w:color w:val="132238"/>
                <w:sz w:val="17"/>
              </w:rPr>
              <w:t>7–8</w:t>
            </w:r>
          </w:p>
        </w:tc>
        <w:tc>
          <w:tcPr>
            <w:tcW w:type="dxa" w:w="4320"/>
            <w:vAlign w:val="center"/>
          </w:tcPr>
          <w:p>
            <w:r/>
            <w:r>
              <w:rPr>
                <w:rFonts w:ascii="Aptos" w:hAnsi="Aptos"/>
                <w:b w:val="0"/>
                <w:color w:val="132238"/>
                <w:sz w:val="17"/>
              </w:rPr>
              <w:t>Open Mailpit and download reports</w:t>
            </w:r>
          </w:p>
        </w:tc>
        <w:tc>
          <w:tcPr>
            <w:tcW w:type="dxa" w:w="4176"/>
            <w:vAlign w:val="center"/>
          </w:tcPr>
          <w:p>
            <w:r/>
            <w:r>
              <w:rPr>
                <w:rFonts w:ascii="Aptos" w:hAnsi="Aptos"/>
                <w:b w:val="0"/>
                <w:color w:val="132238"/>
                <w:sz w:val="17"/>
              </w:rPr>
              <w:t>Email + CSV/PDF evidence</w:t>
            </w:r>
          </w:p>
        </w:tc>
      </w:tr>
      <w:tr>
        <w:tc>
          <w:tcPr>
            <w:tcW w:type="dxa" w:w="1152"/>
            <w:vAlign w:val="center"/>
            <w:shd w:fill="E8F3F1"/>
          </w:tcPr>
          <w:p>
            <w:r/>
            <w:r>
              <w:rPr>
                <w:rFonts w:ascii="Aptos" w:hAnsi="Aptos"/>
                <w:b w:val="0"/>
                <w:color w:val="132238"/>
                <w:sz w:val="17"/>
              </w:rPr>
              <w:t>8–9</w:t>
            </w:r>
          </w:p>
        </w:tc>
        <w:tc>
          <w:tcPr>
            <w:tcW w:type="dxa" w:w="4320"/>
            <w:vAlign w:val="center"/>
            <w:shd w:fill="E8F3F1"/>
          </w:tcPr>
          <w:p>
            <w:r/>
            <w:r>
              <w:rPr>
                <w:rFonts w:ascii="Aptos" w:hAnsi="Aptos"/>
                <w:b w:val="0"/>
                <w:color w:val="132238"/>
                <w:sz w:val="17"/>
              </w:rPr>
              <w:t>Show Kubernetes/CI/integration docs</w:t>
            </w:r>
          </w:p>
        </w:tc>
        <w:tc>
          <w:tcPr>
            <w:tcW w:type="dxa" w:w="4176"/>
            <w:vAlign w:val="center"/>
            <w:shd w:fill="E8F3F1"/>
          </w:tcPr>
          <w:p>
            <w:r/>
            <w:r>
              <w:rPr>
                <w:rFonts w:ascii="Aptos" w:hAnsi="Aptos"/>
                <w:b w:val="0"/>
                <w:color w:val="132238"/>
                <w:sz w:val="17"/>
              </w:rPr>
              <w:t>Scale and team-readiness</w:t>
            </w:r>
          </w:p>
        </w:tc>
      </w:tr>
    </w:tbl>
    <w:p/>
    <w:p>
      <w:r>
        <w:t>Demo credentials are deliberately local and documented in the README. They must never be reused in a hosted deployment. A separate demonstration script accompanies the submission.</w:t>
      </w:r>
    </w:p>
    <w:p>
      <w:r>
        <w:br w:type="page"/>
      </w:r>
    </w:p>
    <w:p>
      <w:r>
        <w:rPr>
          <w:b/>
          <w:color w:val="D4A72C"/>
          <w:sz w:val="18"/>
        </w:rPr>
        <w:t>14 • GROUP 9</w:t>
      </w:r>
    </w:p>
    <w:p>
      <w:pPr>
        <w:pStyle w:val="Heading1"/>
      </w:pPr>
      <w:r>
        <w:t>Team contribution map</w:t>
      </w:r>
    </w:p>
    <w:tbl>
      <w:tblPr>
        <w:tblStyle w:val="TableGrid"/>
        <w:tblW w:type="auto" w:w="0"/>
        <w:jc w:val="center"/>
        <w:tblLook w:firstColumn="1" w:firstRow="1" w:lastColumn="0" w:lastRow="0" w:noHBand="0" w:noVBand="1" w:val="04A0"/>
      </w:tblPr>
      <w:tblGrid>
        <w:gridCol w:w="4997"/>
        <w:gridCol w:w="4997"/>
      </w:tblGrid>
      <w:tr>
        <w:tc>
          <w:tcPr>
            <w:tcW w:type="dxa" w:w="2952"/>
            <w:vAlign w:val="center"/>
            <w:shd w:fill="0F766E"/>
          </w:tcPr>
          <w:p>
            <w:r/>
            <w:r>
              <w:rPr>
                <w:rFonts w:ascii="Aptos" w:hAnsi="Aptos"/>
                <w:b/>
                <w:color w:val="FFFFFF"/>
                <w:sz w:val="18"/>
              </w:rPr>
              <w:t>Member</w:t>
            </w:r>
          </w:p>
        </w:tc>
        <w:tc>
          <w:tcPr>
            <w:tcW w:type="dxa" w:w="6696"/>
            <w:vAlign w:val="center"/>
            <w:shd w:fill="0F766E"/>
          </w:tcPr>
          <w:p>
            <w:r/>
            <w:r>
              <w:rPr>
                <w:rFonts w:ascii="Aptos" w:hAnsi="Aptos"/>
                <w:b/>
                <w:color w:val="FFFFFF"/>
                <w:sz w:val="18"/>
              </w:rPr>
              <w:t>Assigned focus from workbook</w:t>
            </w:r>
          </w:p>
        </w:tc>
      </w:tr>
      <w:tr>
        <w:tc>
          <w:tcPr>
            <w:tcW w:type="dxa" w:w="2952"/>
            <w:vAlign w:val="center"/>
          </w:tcPr>
          <w:p>
            <w:r/>
            <w:r>
              <w:rPr>
                <w:rFonts w:ascii="Aptos" w:hAnsi="Aptos"/>
                <w:b w:val="0"/>
                <w:color w:val="132238"/>
                <w:sz w:val="17"/>
              </w:rPr>
              <w:t>Vritika Vinod</w:t>
            </w:r>
          </w:p>
        </w:tc>
        <w:tc>
          <w:tcPr>
            <w:tcW w:type="dxa" w:w="6696"/>
            <w:vAlign w:val="center"/>
          </w:tcPr>
          <w:p>
            <w:r/>
            <w:r>
              <w:rPr>
                <w:rFonts w:ascii="Aptos" w:hAnsi="Aptos"/>
                <w:b w:val="0"/>
                <w:color w:val="132238"/>
                <w:sz w:val="17"/>
              </w:rPr>
              <w:t>Schema, account generation, account creation and UI</w:t>
            </w:r>
          </w:p>
        </w:tc>
      </w:tr>
      <w:tr>
        <w:tc>
          <w:tcPr>
            <w:tcW w:type="dxa" w:w="2952"/>
            <w:vAlign w:val="center"/>
            <w:shd w:fill="E8F3F1"/>
          </w:tcPr>
          <w:p>
            <w:r/>
            <w:r>
              <w:rPr>
                <w:rFonts w:ascii="Aptos" w:hAnsi="Aptos"/>
                <w:b w:val="0"/>
                <w:color w:val="132238"/>
                <w:sz w:val="17"/>
              </w:rPr>
              <w:t>Anirudh Syam Menon</w:t>
            </w:r>
          </w:p>
        </w:tc>
        <w:tc>
          <w:tcPr>
            <w:tcW w:type="dxa" w:w="6696"/>
            <w:vAlign w:val="center"/>
            <w:shd w:fill="E8F3F1"/>
          </w:tcPr>
          <w:p>
            <w:r/>
            <w:r>
              <w:rPr>
                <w:rFonts w:ascii="Aptos" w:hAnsi="Aptos"/>
                <w:b w:val="0"/>
                <w:color w:val="132238"/>
                <w:sz w:val="17"/>
              </w:rPr>
              <w:t>Transaction schema, initial deposit, GL and UI</w:t>
            </w:r>
          </w:p>
        </w:tc>
      </w:tr>
      <w:tr>
        <w:tc>
          <w:tcPr>
            <w:tcW w:type="dxa" w:w="2952"/>
            <w:vAlign w:val="center"/>
          </w:tcPr>
          <w:p>
            <w:r/>
            <w:r>
              <w:rPr>
                <w:rFonts w:ascii="Aptos" w:hAnsi="Aptos"/>
                <w:b w:val="0"/>
                <w:color w:val="132238"/>
                <w:sz w:val="17"/>
              </w:rPr>
              <w:t>Parth Gupta</w:t>
            </w:r>
          </w:p>
        </w:tc>
        <w:tc>
          <w:tcPr>
            <w:tcW w:type="dxa" w:w="6696"/>
            <w:vAlign w:val="center"/>
          </w:tcPr>
          <w:p>
            <w:r/>
            <w:r>
              <w:rPr>
                <w:rFonts w:ascii="Aptos" w:hAnsi="Aptos"/>
                <w:b w:val="0"/>
                <w:color w:val="132238"/>
                <w:sz w:val="17"/>
              </w:rPr>
              <w:t>Interest engine, scheduler, statements and dashboard</w:t>
            </w:r>
          </w:p>
        </w:tc>
      </w:tr>
      <w:tr>
        <w:tc>
          <w:tcPr>
            <w:tcW w:type="dxa" w:w="2952"/>
            <w:vAlign w:val="center"/>
            <w:shd w:fill="E8F3F1"/>
          </w:tcPr>
          <w:p>
            <w:r/>
            <w:r>
              <w:rPr>
                <w:rFonts w:ascii="Aptos" w:hAnsi="Aptos"/>
                <w:b w:val="0"/>
                <w:color w:val="132238"/>
                <w:sz w:val="17"/>
              </w:rPr>
              <w:t>Niranjan Subhash Nair</w:t>
            </w:r>
          </w:p>
        </w:tc>
        <w:tc>
          <w:tcPr>
            <w:tcW w:type="dxa" w:w="6696"/>
            <w:vAlign w:val="center"/>
            <w:shd w:fill="E8F3F1"/>
          </w:tcPr>
          <w:p>
            <w:r/>
            <w:r>
              <w:rPr>
                <w:rFonts w:ascii="Aptos" w:hAnsi="Aptos"/>
                <w:b w:val="0"/>
                <w:color w:val="132238"/>
                <w:sz w:val="17"/>
              </w:rPr>
              <w:t>Premature withdrawal</w:t>
            </w:r>
          </w:p>
        </w:tc>
      </w:tr>
      <w:tr>
        <w:tc>
          <w:tcPr>
            <w:tcW w:type="dxa" w:w="2952"/>
            <w:vAlign w:val="center"/>
          </w:tcPr>
          <w:p>
            <w:r/>
            <w:r>
              <w:rPr>
                <w:rFonts w:ascii="Aptos" w:hAnsi="Aptos"/>
                <w:b w:val="0"/>
                <w:color w:val="132238"/>
                <w:sz w:val="17"/>
              </w:rPr>
              <w:t>Pratham P Shetty</w:t>
            </w:r>
          </w:p>
        </w:tc>
        <w:tc>
          <w:tcPr>
            <w:tcW w:type="dxa" w:w="6696"/>
            <w:vAlign w:val="center"/>
          </w:tcPr>
          <w:p>
            <w:r/>
            <w:r>
              <w:rPr>
                <w:rFonts w:ascii="Aptos" w:hAnsi="Aptos"/>
                <w:b w:val="0"/>
                <w:color w:val="132238"/>
                <w:sz w:val="17"/>
              </w:rPr>
              <w:t>Maturity, payout and manual close</w:t>
            </w:r>
          </w:p>
        </w:tc>
      </w:tr>
      <w:tr>
        <w:tc>
          <w:tcPr>
            <w:tcW w:type="dxa" w:w="2952"/>
            <w:vAlign w:val="center"/>
            <w:shd w:fill="E8F3F1"/>
          </w:tcPr>
          <w:p>
            <w:r/>
            <w:r>
              <w:rPr>
                <w:rFonts w:ascii="Aptos" w:hAnsi="Aptos"/>
                <w:b w:val="0"/>
                <w:color w:val="132238"/>
                <w:sz w:val="17"/>
              </w:rPr>
              <w:t>Krishna Gupta</w:t>
            </w:r>
          </w:p>
        </w:tc>
        <w:tc>
          <w:tcPr>
            <w:tcW w:type="dxa" w:w="6696"/>
            <w:vAlign w:val="center"/>
            <w:shd w:fill="E8F3F1"/>
          </w:tcPr>
          <w:p>
            <w:r/>
            <w:r>
              <w:rPr>
                <w:rFonts w:ascii="Aptos" w:hAnsi="Aptos"/>
                <w:b w:val="0"/>
                <w:color w:val="132238"/>
                <w:sz w:val="17"/>
              </w:rPr>
              <w:t>Email/WhatsApp notification scope, reporting API, time travel and lifecycle tests; group lead and integration</w:t>
            </w:r>
          </w:p>
        </w:tc>
      </w:tr>
    </w:tbl>
    <w:p/>
    <w:p>
      <w:r>
        <w:t>This table mirrors the detailed Group-9 allocation in Work_Distribution_TEAM_1.xlsx. Git history and pull requests should be used as the final authorship evidence when individual branches are integrated.</w:t>
      </w:r>
    </w:p>
    <w:p>
      <w:r>
        <w:br w:type="page"/>
      </w:r>
    </w:p>
    <w:p>
      <w:r>
        <w:rPr>
          <w:b/>
          <w:color w:val="D4A72C"/>
          <w:sz w:val="18"/>
        </w:rPr>
        <w:t>15 • NEXT STEPS</w:t>
      </w:r>
    </w:p>
    <w:p>
      <w:pPr>
        <w:pStyle w:val="Heading1"/>
      </w:pPr>
      <w:r>
        <w:t>Limitations and roadmap</w:t>
      </w:r>
    </w:p>
    <w:tbl>
      <w:tblPr>
        <w:tblStyle w:val="TableGrid"/>
        <w:tblW w:type="auto" w:w="0"/>
        <w:jc w:val="center"/>
        <w:tblLook w:firstColumn="1" w:firstRow="1" w:lastColumn="0" w:lastRow="0" w:noHBand="0" w:noVBand="1" w:val="04A0"/>
      </w:tblPr>
      <w:tblGrid>
        <w:gridCol w:w="4997"/>
        <w:gridCol w:w="4997"/>
      </w:tblGrid>
      <w:tr>
        <w:tc>
          <w:tcPr>
            <w:tcW w:type="dxa" w:w="2232"/>
            <w:vAlign w:val="center"/>
            <w:shd w:fill="0F766E"/>
          </w:tcPr>
          <w:p>
            <w:r/>
            <w:r>
              <w:rPr>
                <w:rFonts w:ascii="Aptos" w:hAnsi="Aptos"/>
                <w:b/>
                <w:color w:val="FFFFFF"/>
                <w:sz w:val="18"/>
              </w:rPr>
              <w:t>Horizon</w:t>
            </w:r>
          </w:p>
        </w:tc>
        <w:tc>
          <w:tcPr>
            <w:tcW w:type="dxa" w:w="7416"/>
            <w:vAlign w:val="center"/>
            <w:shd w:fill="0F766E"/>
          </w:tcPr>
          <w:p>
            <w:r/>
            <w:r>
              <w:rPr>
                <w:rFonts w:ascii="Aptos" w:hAnsi="Aptos"/>
                <w:b/>
                <w:color w:val="FFFFFF"/>
                <w:sz w:val="18"/>
              </w:rPr>
              <w:t>Recommended enhancement</w:t>
            </w:r>
          </w:p>
        </w:tc>
      </w:tr>
      <w:tr>
        <w:tc>
          <w:tcPr>
            <w:tcW w:type="dxa" w:w="2232"/>
            <w:vAlign w:val="center"/>
          </w:tcPr>
          <w:p>
            <w:r/>
            <w:r>
              <w:rPr>
                <w:rFonts w:ascii="Aptos" w:hAnsi="Aptos"/>
                <w:b w:val="0"/>
                <w:color w:val="132238"/>
                <w:sz w:val="17"/>
              </w:rPr>
              <w:t>Before final team merge</w:t>
            </w:r>
          </w:p>
        </w:tc>
        <w:tc>
          <w:tcPr>
            <w:tcW w:type="dxa" w:w="7416"/>
            <w:vAlign w:val="center"/>
          </w:tcPr>
          <w:p>
            <w:r/>
            <w:r>
              <w:rPr>
                <w:rFonts w:ascii="Aptos" w:hAnsi="Aptos"/>
                <w:b w:val="0"/>
                <w:color w:val="132238"/>
                <w:sz w:val="17"/>
              </w:rPr>
              <w:t>Confirm external payloads; add consumer-driven contract tests; resolve shared account endpoint semantics.</w:t>
            </w:r>
          </w:p>
        </w:tc>
      </w:tr>
      <w:tr>
        <w:tc>
          <w:tcPr>
            <w:tcW w:type="dxa" w:w="2232"/>
            <w:vAlign w:val="center"/>
            <w:shd w:fill="E8F3F1"/>
          </w:tcPr>
          <w:p>
            <w:r/>
            <w:r>
              <w:rPr>
                <w:rFonts w:ascii="Aptos" w:hAnsi="Aptos"/>
                <w:b w:val="0"/>
                <w:color w:val="132238"/>
                <w:sz w:val="17"/>
              </w:rPr>
              <w:t>Portfolio polish</w:t>
            </w:r>
          </w:p>
        </w:tc>
        <w:tc>
          <w:tcPr>
            <w:tcW w:type="dxa" w:w="7416"/>
            <w:vAlign w:val="center"/>
            <w:shd w:fill="E8F3F1"/>
          </w:tcPr>
          <w:p>
            <w:r/>
            <w:r>
              <w:rPr>
                <w:rFonts w:ascii="Aptos" w:hAnsi="Aptos"/>
                <w:b w:val="0"/>
                <w:color w:val="132238"/>
                <w:sz w:val="17"/>
              </w:rPr>
              <w:t>Add Testcontainers, OpenTelemetry traces, Grafana dashboards and architecture decision records.</w:t>
            </w:r>
          </w:p>
        </w:tc>
      </w:tr>
      <w:tr>
        <w:tc>
          <w:tcPr>
            <w:tcW w:type="dxa" w:w="2232"/>
            <w:vAlign w:val="center"/>
          </w:tcPr>
          <w:p>
            <w:r/>
            <w:r>
              <w:rPr>
                <w:rFonts w:ascii="Aptos" w:hAnsi="Aptos"/>
                <w:b w:val="0"/>
                <w:color w:val="132238"/>
                <w:sz w:val="17"/>
              </w:rPr>
              <w:t>Production security</w:t>
            </w:r>
          </w:p>
        </w:tc>
        <w:tc>
          <w:tcPr>
            <w:tcW w:type="dxa" w:w="7416"/>
            <w:vAlign w:val="center"/>
          </w:tcPr>
          <w:p>
            <w:r/>
            <w:r>
              <w:rPr>
                <w:rFonts w:ascii="Aptos" w:hAnsi="Aptos"/>
                <w:b w:val="0"/>
                <w:color w:val="132238"/>
                <w:sz w:val="17"/>
              </w:rPr>
              <w:t>OIDC provider (Microsoft Entra ID/Keycloak), asymmetric JWTs, vault-managed secrets and TLS.</w:t>
            </w:r>
          </w:p>
        </w:tc>
      </w:tr>
      <w:tr>
        <w:tc>
          <w:tcPr>
            <w:tcW w:type="dxa" w:w="2232"/>
            <w:vAlign w:val="center"/>
            <w:shd w:fill="E8F3F1"/>
          </w:tcPr>
          <w:p>
            <w:r/>
            <w:r>
              <w:rPr>
                <w:rFonts w:ascii="Aptos" w:hAnsi="Aptos"/>
                <w:b w:val="0"/>
                <w:color w:val="132238"/>
                <w:sz w:val="17"/>
              </w:rPr>
              <w:t>Scale</w:t>
            </w:r>
          </w:p>
        </w:tc>
        <w:tc>
          <w:tcPr>
            <w:tcW w:type="dxa" w:w="7416"/>
            <w:vAlign w:val="center"/>
            <w:shd w:fill="E8F3F1"/>
          </w:tcPr>
          <w:p>
            <w:r/>
            <w:r>
              <w:rPr>
                <w:rFonts w:ascii="Aptos" w:hAnsi="Aptos"/>
                <w:b w:val="0"/>
                <w:color w:val="132238"/>
                <w:sz w:val="17"/>
              </w:rPr>
              <w:t>Database-per-service, transactional outbox, Kafka retry/DLQ topics and report read replicas.</w:t>
            </w:r>
          </w:p>
        </w:tc>
      </w:tr>
      <w:tr>
        <w:tc>
          <w:tcPr>
            <w:tcW w:type="dxa" w:w="2232"/>
            <w:vAlign w:val="center"/>
          </w:tcPr>
          <w:p>
            <w:r/>
            <w:r>
              <w:rPr>
                <w:rFonts w:ascii="Aptos" w:hAnsi="Aptos"/>
                <w:b w:val="0"/>
                <w:color w:val="132238"/>
                <w:sz w:val="17"/>
              </w:rPr>
              <w:t>Cloud</w:t>
            </w:r>
          </w:p>
        </w:tc>
        <w:tc>
          <w:tcPr>
            <w:tcW w:type="dxa" w:w="7416"/>
            <w:vAlign w:val="center"/>
          </w:tcPr>
          <w:p>
            <w:r/>
            <w:r>
              <w:rPr>
                <w:rFonts w:ascii="Aptos" w:hAnsi="Aptos"/>
                <w:b w:val="0"/>
                <w:color w:val="132238"/>
                <w:sz w:val="17"/>
              </w:rPr>
              <w:t>Use Azure for Students if available; otherwise retain provider-neutral Kubernetes or a free container host.</w:t>
            </w:r>
          </w:p>
        </w:tc>
      </w:tr>
      <w:tr>
        <w:tc>
          <w:tcPr>
            <w:tcW w:type="dxa" w:w="2232"/>
            <w:vAlign w:val="center"/>
            <w:shd w:fill="E8F3F1"/>
          </w:tcPr>
          <w:p>
            <w:r/>
            <w:r>
              <w:rPr>
                <w:rFonts w:ascii="Aptos" w:hAnsi="Aptos"/>
                <w:b w:val="0"/>
                <w:color w:val="132238"/>
                <w:sz w:val="17"/>
              </w:rPr>
              <w:t>Notifications</w:t>
            </w:r>
          </w:p>
        </w:tc>
        <w:tc>
          <w:tcPr>
            <w:tcW w:type="dxa" w:w="7416"/>
            <w:vAlign w:val="center"/>
            <w:shd w:fill="E8F3F1"/>
          </w:tcPr>
          <w:p>
            <w:r/>
            <w:r>
              <w:rPr>
                <w:rFonts w:ascii="Aptos" w:hAnsi="Aptos"/>
                <w:b w:val="0"/>
                <w:color w:val="132238"/>
                <w:sz w:val="17"/>
              </w:rPr>
              <w:t>Replace Mailpit with verified email; add WhatsApp/SMS only within free student quotas.</w:t>
            </w:r>
          </w:p>
        </w:tc>
      </w:tr>
    </w:tbl>
    <w:p/>
    <w:p>
      <w:pPr>
        <w:pStyle w:val="Heading2"/>
      </w:pPr>
      <w:r>
        <w:t>Submission readiness</w:t>
      </w:r>
    </w:p>
    <w:p>
      <w:r>
        <w:t>The local demonstration is complete and repeatable. Remaining work depends on people or systems outside this repository: professor-specific formatting, final team contracts, cloud entitlement confirmation and revocation of any credential previously exposed in public history.</w:t>
      </w:r>
    </w:p>
    <w:sectPr w:rsidR="00FC693F" w:rsidRPr="0006063C" w:rsidSect="00034616">
      <w:headerReference w:type="default" r:id="rId9"/>
      <w:footerReference w:type="default" r:id="rId10"/>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Fixed Deposit Microservice  •  Integration-ready demonstration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0F766E"/>
        <w:sz w:val="16"/>
      </w:rPr>
      <w:t>BANKING TECHNOLOGY LAB  •  GROUP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3223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7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3223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Deposit Microservice Platform</dc:title>
  <dc:subject>Banking Technology Laboratory — Group 9</dc:subject>
  <dc:creator>Krishna Gupta and Group 9</dc:creator>
  <cp:keywords>fixed deposit, microservices, Spring Boot, Angular, Docker, Kubernetes</cp:keywords>
  <dc:description>generated by python-docx</dc:description>
  <cp:lastModifiedBy/>
  <cp:revision>1</cp:revision>
  <dcterms:created xsi:type="dcterms:W3CDTF">2013-12-23T23:15:00Z</dcterms:created>
  <dcterms:modified xsi:type="dcterms:W3CDTF">2013-12-23T23:15:00Z</dcterms:modified>
  <cp:category/>
</cp:coreProperties>
</file>