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934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1057"/>
        <w:gridCol w:w="1471"/>
        <w:gridCol w:w="3734"/>
      </w:tblGrid>
      <w:tr w:rsidR="00DD02DB" w14:paraId="6778FD31" w14:textId="77777777" w:rsidTr="009C6F7D">
        <w:trPr>
          <w:trHeight w:val="718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3C9ECD49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05019F">
              <w:rPr>
                <w:sz w:val="20"/>
              </w:rPr>
              <w:t>Kishore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9C6F7D">
        <w:trPr>
          <w:trHeight w:val="742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9C6F7D">
        <w:trPr>
          <w:trHeight w:val="925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33362E3B" w:rsidR="00DD02DB" w:rsidRDefault="0005019F" w:rsidP="00FB5332">
            <w:pPr>
              <w:spacing w:after="160"/>
              <w:ind w:left="0" w:right="0"/>
            </w:pPr>
            <w:r>
              <w:t>3</w:t>
            </w:r>
          </w:p>
        </w:tc>
      </w:tr>
      <w:tr w:rsidR="00DD02DB" w14:paraId="082792C9" w14:textId="77777777" w:rsidTr="009C6F7D">
        <w:trPr>
          <w:trHeight w:val="9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40985690" w:rsidR="00DD02DB" w:rsidRPr="0078644C" w:rsidRDefault="0005019F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057F443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30C85F91" w14:textId="77777777" w:rsidTr="009C6F7D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2F3DB6F1" w:rsidR="009C6F7D" w:rsidRPr="0078644C" w:rsidRDefault="0005019F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2D05B89A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4CA709D7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6DA01337" w:rsidR="009C6F7D" w:rsidRPr="0078644C" w:rsidRDefault="0005019F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255711BB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08E5CC28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310E12C0" w:rsidR="009C6F7D" w:rsidRPr="0078644C" w:rsidRDefault="0005019F" w:rsidP="009C6F7D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4E0D4762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41A7A5E1" w14:textId="77777777" w:rsidTr="009C6F7D">
        <w:trPr>
          <w:trHeight w:val="4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102895E0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196343B1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117F8408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000A6B2D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18FCB33E" w14:textId="77777777" w:rsidTr="009C6F7D">
        <w:trPr>
          <w:trHeight w:val="446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0FB3FC79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2A31F1D7" w14:textId="77777777" w:rsidTr="009C6F7D">
        <w:trPr>
          <w:trHeight w:val="468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70D9F8D9" w14:textId="77777777" w:rsidTr="009C6F7D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744819AB" w14:textId="77777777" w:rsidTr="009C6F7D">
        <w:trPr>
          <w:trHeight w:val="44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605DD546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2ABE44B0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58D80CF1" w14:textId="77777777" w:rsidTr="009C6F7D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44AD1594" w:rsidR="009C6F7D" w:rsidRPr="0078644C" w:rsidRDefault="009C6F7D" w:rsidP="009C6F7D">
            <w:pPr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9C6F7D" w:rsidRPr="0078644C" w:rsidRDefault="009C6F7D" w:rsidP="009C6F7D">
            <w:pPr>
              <w:ind w:left="86" w:right="0"/>
              <w:rPr>
                <w:sz w:val="20"/>
              </w:rPr>
            </w:pPr>
          </w:p>
        </w:tc>
      </w:tr>
      <w:tr w:rsidR="009C6F7D" w14:paraId="4C67C69E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0B8C641E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1A1148E1" w14:textId="77777777" w:rsidTr="009C6F7D">
        <w:trPr>
          <w:trHeight w:val="44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2B89AC34" w:rsidR="009C6F7D" w:rsidRPr="0078644C" w:rsidRDefault="00033248" w:rsidP="009C6F7D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7070C521" w14:textId="77777777" w:rsidTr="009C6F7D">
        <w:trPr>
          <w:trHeight w:val="437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48B30F56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0ACBD4E5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26A06853" w14:textId="77777777" w:rsidTr="009C6F7D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 MVC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10D6B59A" w14:textId="77777777" w:rsidTr="009C6F7D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9C6F7D" w:rsidRPr="00D833FB" w:rsidRDefault="009C6F7D" w:rsidP="009C6F7D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 JavaScript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9C6F7D" w:rsidRPr="0078644C" w:rsidRDefault="009C6F7D" w:rsidP="009C6F7D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9C6F7D" w:rsidRPr="0078644C" w:rsidRDefault="009C6F7D" w:rsidP="009C6F7D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9C6F7D" w14:paraId="18433F39" w14:textId="77777777" w:rsidTr="009C6F7D">
        <w:trPr>
          <w:trHeight w:val="43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6B3414B9" w14:textId="77777777" w:rsidTr="009C6F7D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9C6F7D" w:rsidRPr="00D833FB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9C6F7D" w:rsidRPr="0078644C" w:rsidRDefault="009C6F7D" w:rsidP="009C6F7D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9C6F7D" w14:paraId="7B027373" w14:textId="77777777" w:rsidTr="009C6F7D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2F3B7544" w:rsidR="009C6F7D" w:rsidRDefault="009C6F7D" w:rsidP="009C6F7D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Not Selected </w:t>
            </w:r>
          </w:p>
        </w:tc>
        <w:tc>
          <w:tcPr>
            <w:tcW w:w="6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63700174" w:rsidR="009C6F7D" w:rsidRPr="0078644C" w:rsidRDefault="009C6F7D" w:rsidP="009C6F7D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The candidate is not well prepared on any topics of .NET especially when the questions were asked from basic fundamentals to intermediate level. Need to really work hard.</w:t>
            </w:r>
            <w:r w:rsidR="0005019F">
              <w:rPr>
                <w:sz w:val="20"/>
              </w:rPr>
              <w:t xml:space="preserve"> Many of the questions the candidate stated like need preparation.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0DE8FC12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3E1AF72F" w14:textId="77777777" w:rsidR="00033248" w:rsidRDefault="00033248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4C5C59AC" w:rsidR="005E40D1" w:rsidRDefault="00033248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57B83B94" wp14:editId="6E1590AE">
            <wp:extent cx="4509401" cy="25330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26" cy="2551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85F2" w14:textId="77777777" w:rsidR="00C3240E" w:rsidRDefault="00C3240E" w:rsidP="00DE5407">
      <w:pPr>
        <w:spacing w:line="240" w:lineRule="auto"/>
      </w:pPr>
      <w:r>
        <w:separator/>
      </w:r>
    </w:p>
  </w:endnote>
  <w:endnote w:type="continuationSeparator" w:id="0">
    <w:p w14:paraId="376F8415" w14:textId="77777777" w:rsidR="00C3240E" w:rsidRDefault="00C3240E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48FD" w14:textId="77777777" w:rsidR="00C3240E" w:rsidRDefault="00C3240E" w:rsidP="00DE5407">
      <w:pPr>
        <w:spacing w:line="240" w:lineRule="auto"/>
      </w:pPr>
      <w:r>
        <w:separator/>
      </w:r>
    </w:p>
  </w:footnote>
  <w:footnote w:type="continuationSeparator" w:id="0">
    <w:p w14:paraId="08A157E8" w14:textId="77777777" w:rsidR="00C3240E" w:rsidRDefault="00C3240E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24A4A"/>
    <w:rsid w:val="0003172E"/>
    <w:rsid w:val="000318E7"/>
    <w:rsid w:val="00032D5C"/>
    <w:rsid w:val="00033248"/>
    <w:rsid w:val="0003636C"/>
    <w:rsid w:val="000413C6"/>
    <w:rsid w:val="00041E64"/>
    <w:rsid w:val="0005019F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4318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0F3C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13ADC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4161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3017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364BF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8525E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2AB4"/>
    <w:rsid w:val="008D683C"/>
    <w:rsid w:val="008E2885"/>
    <w:rsid w:val="008E2BF4"/>
    <w:rsid w:val="008F3788"/>
    <w:rsid w:val="008F511D"/>
    <w:rsid w:val="00902207"/>
    <w:rsid w:val="00904C0B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6F7D"/>
    <w:rsid w:val="009C734F"/>
    <w:rsid w:val="009E631A"/>
    <w:rsid w:val="009F4B5A"/>
    <w:rsid w:val="009F7ECD"/>
    <w:rsid w:val="00A01EF9"/>
    <w:rsid w:val="00A03558"/>
    <w:rsid w:val="00A10F93"/>
    <w:rsid w:val="00A12EF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55A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16B3F"/>
    <w:rsid w:val="00C2275A"/>
    <w:rsid w:val="00C2275B"/>
    <w:rsid w:val="00C22E17"/>
    <w:rsid w:val="00C275A9"/>
    <w:rsid w:val="00C3240E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1A63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560DB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422C4"/>
    <w:rsid w:val="00F55807"/>
    <w:rsid w:val="00F60BD0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3</cp:revision>
  <dcterms:created xsi:type="dcterms:W3CDTF">2022-01-14T11:38:00Z</dcterms:created>
  <dcterms:modified xsi:type="dcterms:W3CDTF">2022-01-14T12:38:00Z</dcterms:modified>
</cp:coreProperties>
</file>