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Times Roman" w:cs="Times Roman" w:hAnsi="Times Roman" w:eastAsia="Times Roman"/>
          <w:b w:val="1"/>
          <w:bCs w:val="1"/>
          <w:sz w:val="40"/>
          <w:szCs w:val="40"/>
        </w:rPr>
      </w:pP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>TCL</w:t>
      </w:r>
    </w:p>
    <w:p>
      <w:pPr>
        <w:pStyle w:val="Body"/>
        <w:jc w:val="center"/>
        <w:rPr>
          <w:rFonts w:ascii="Times Roman" w:cs="Times Roman" w:hAnsi="Times Roman" w:eastAsia="Times Roman"/>
          <w:b w:val="1"/>
          <w:bCs w:val="1"/>
          <w:sz w:val="40"/>
          <w:szCs w:val="40"/>
        </w:rPr>
      </w:pPr>
    </w:p>
    <w:p>
      <w:pPr>
        <w:pStyle w:val="Body"/>
        <w:numPr>
          <w:ilvl w:val="0"/>
          <w:numId w:val="2"/>
        </w:numPr>
        <w:jc w:val="left"/>
        <w:rPr>
          <w:rFonts w:ascii="Times Roman" w:hAnsi="Times Roman"/>
          <w:b w:val="1"/>
          <w:bCs w:val="1"/>
          <w:sz w:val="40"/>
          <w:szCs w:val="40"/>
          <w:lang w:val="en-US"/>
        </w:rPr>
      </w:pP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>What is the purpose of the COMMIT and ROLLBACK commands in SQL?</w:t>
      </w:r>
    </w:p>
    <w:p>
      <w:pPr>
        <w:pStyle w:val="Body"/>
        <w:jc w:val="left"/>
        <w:rPr>
          <w:rFonts w:ascii="Times Roman" w:cs="Times Roman" w:hAnsi="Times Roman" w:eastAsia="Times Roman"/>
          <w:b w:val="1"/>
          <w:bCs w:val="1"/>
          <w:sz w:val="40"/>
          <w:szCs w:val="40"/>
        </w:rPr>
      </w:pPr>
    </w:p>
    <w:p>
      <w:pPr>
        <w:pStyle w:val="Body"/>
        <w:jc w:val="left"/>
        <w:rPr>
          <w:rFonts w:ascii="Times Roman" w:cs="Times Roman" w:hAnsi="Times Roman" w:eastAsia="Times Roman"/>
          <w:b w:val="1"/>
          <w:bCs w:val="1"/>
          <w:sz w:val="40"/>
          <w:szCs w:val="40"/>
        </w:rPr>
      </w:pP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  <w:r>
        <w:rPr>
          <w:rFonts w:ascii="Times Roman" w:hAnsi="Times Roman"/>
          <w:sz w:val="30"/>
          <w:szCs w:val="30"/>
          <w:rtl w:val="0"/>
        </w:rPr>
        <w:t>COMMIT:</w:t>
      </w:r>
      <w:r>
        <w:rPr>
          <w:rFonts w:ascii="Times Roman" w:cs="Times Roman" w:hAnsi="Times Roman" w:eastAsia="Times Roman"/>
          <w:sz w:val="30"/>
          <w:szCs w:val="30"/>
        </w:rPr>
        <w:br w:type="textWrapping"/>
      </w:r>
      <w:r>
        <w:rPr>
          <w:rFonts w:ascii="Times Roman" w:hAnsi="Times Roman"/>
          <w:sz w:val="30"/>
          <w:szCs w:val="30"/>
          <w:rtl w:val="0"/>
          <w:lang w:val="en-US"/>
        </w:rPr>
        <w:t>Saves all the changes made during the current transaction permanently to the database.</w:t>
      </w:r>
      <w:r>
        <w:rPr>
          <w:rFonts w:ascii="Times Roman" w:cs="Times Roman" w:hAnsi="Times Roman" w:eastAsia="Times Roman"/>
          <w:sz w:val="30"/>
          <w:szCs w:val="30"/>
        </w:rPr>
        <w:br w:type="textWrapping"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0"/>
          <w:szCs w:val="30"/>
          <w:rtl w:val="0"/>
        </w:rPr>
        <w:t>➤</w:t>
      </w:r>
      <w:r>
        <w:rPr>
          <w:rFonts w:ascii="Times Roman" w:hAnsi="Times Roman"/>
          <w:sz w:val="30"/>
          <w:szCs w:val="30"/>
          <w:rtl w:val="0"/>
        </w:rPr>
        <w:t xml:space="preserve"> </w:t>
      </w:r>
      <w:r>
        <w:rPr>
          <w:rFonts w:ascii="Times Roman" w:hAnsi="Times Roman"/>
          <w:sz w:val="30"/>
          <w:szCs w:val="30"/>
          <w:rtl w:val="0"/>
          <w:lang w:val="en-US"/>
        </w:rPr>
        <w:t>Once committed, the changes cannot be undone.</w:t>
      </w: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  <w:r>
        <w:rPr>
          <w:rFonts w:ascii="Times Roman" w:hAnsi="Times Roman"/>
          <w:sz w:val="30"/>
          <w:szCs w:val="30"/>
          <w:rtl w:val="0"/>
        </w:rPr>
        <w:t>ROLLBACK:</w:t>
      </w:r>
      <w:r>
        <w:rPr>
          <w:rFonts w:ascii="Times Roman" w:cs="Times Roman" w:hAnsi="Times Roman" w:eastAsia="Times Roman"/>
          <w:sz w:val="30"/>
          <w:szCs w:val="30"/>
        </w:rPr>
        <w:br w:type="textWrapping"/>
      </w:r>
      <w:r>
        <w:rPr>
          <w:rFonts w:ascii="Times Roman" w:hAnsi="Times Roman"/>
          <w:sz w:val="30"/>
          <w:szCs w:val="30"/>
          <w:rtl w:val="0"/>
          <w:lang w:val="en-US"/>
        </w:rPr>
        <w:t>Undoes all the changes made during the current transaction.</w:t>
      </w:r>
      <w:r>
        <w:rPr>
          <w:rFonts w:ascii="Times Roman" w:cs="Times Roman" w:hAnsi="Times Roman" w:eastAsia="Times Roman"/>
          <w:sz w:val="30"/>
          <w:szCs w:val="30"/>
        </w:rPr>
        <w:br w:type="textWrapping"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0"/>
          <w:szCs w:val="30"/>
          <w:rtl w:val="0"/>
        </w:rPr>
        <w:t>➤</w:t>
      </w:r>
      <w:r>
        <w:rPr>
          <w:rFonts w:ascii="Times Roman" w:hAnsi="Times Roman"/>
          <w:sz w:val="30"/>
          <w:szCs w:val="30"/>
          <w:rtl w:val="0"/>
        </w:rPr>
        <w:t xml:space="preserve"> </w:t>
      </w:r>
      <w:r>
        <w:rPr>
          <w:rFonts w:ascii="Times Roman" w:hAnsi="Times Roman"/>
          <w:sz w:val="30"/>
          <w:szCs w:val="30"/>
          <w:rtl w:val="0"/>
          <w:lang w:val="en-US"/>
        </w:rPr>
        <w:t>It reverts the database back to the state before the transaction began.</w:t>
      </w: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These commands are used to manage transactions safely and ensure data consistency.</w:t>
      </w: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40"/>
          <w:szCs w:val="40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40"/>
          <w:szCs w:val="40"/>
          <w:shd w:val="clear" w:color="auto" w:fill="ffffff"/>
          <w:rtl w:val="0"/>
          <w:lang w:val="en-US"/>
        </w:rPr>
        <w:t>2. How are transactions managed in SQL databases?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pt-PT"/>
        </w:rPr>
        <w:t xml:space="preserve">A </w:t>
      </w: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fr-FR"/>
        </w:rPr>
        <w:t>transaction</w:t>
      </w: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 xml:space="preserve"> is a sequence of one or more SQL operations that are treated as a </w:t>
      </w: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>single unit of work</w:t>
      </w: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 xml:space="preserve">. Transactions follow the </w:t>
      </w: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>ACID properties</w:t>
      </w:r>
      <w:r>
        <w:rPr>
          <w:rFonts w:ascii="Times Roman" w:hAnsi="Times Roman"/>
          <w:sz w:val="30"/>
          <w:szCs w:val="30"/>
          <w:shd w:val="clear" w:color="auto" w:fill="ffffff"/>
          <w:rtl w:val="0"/>
        </w:rPr>
        <w:t>: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</w:rPr>
        <w:t>A</w:t>
      </w: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>tomicity: All operations in a transaction succeed or none do.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</w:rPr>
        <w:t>C</w:t>
      </w: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>onsistency: The database remains consistent before and after the transaction.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</w:rPr>
        <w:t>I</w:t>
      </w: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>solation: Transactions operate independently.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</w:rPr>
        <w:t>D</w:t>
      </w: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>urability: Committed changes persist even after a system failure.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>Transaction Control Commands: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de-DE"/>
        </w:rPr>
        <w:t>START TRANSACTION;   -- or BEGIN;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COMMIT;              -- Save changes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ROLLBACK;            -- Undo changes if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65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1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37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73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209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45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81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17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53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65" w:hanging="625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285" w:hanging="625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505" w:hanging="625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725" w:hanging="625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45" w:hanging="625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165" w:hanging="625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385" w:hanging="625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605" w:hanging="625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