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F2D59"/>
          <w:sz w:val="36"/>
        </w:rPr>
        <w:t>LABORATORIO #3: SISTEMA DE INVENTARIO ADUANERO</w:t>
      </w:r>
    </w:p>
    <w:p>
      <w:pPr>
        <w:spacing w:after="360"/>
        <w:jc w:val="center"/>
      </w:pPr>
      <w:r>
        <w:rPr>
          <w:color w:val="1E427B"/>
          <w:sz w:val="26"/>
        </w:rPr>
        <w:t>Base de Datos Relacional y Agente de Inteligencia Artificial con n8n</w:t>
      </w:r>
    </w:p>
    <w:tbl>
      <w:tblPr>
        <w:tblW w:type="auto" w:w="0"/>
        <w:jc w:val="center"/>
        <w:tblLook w:firstColumn="1" w:firstRow="1" w:lastColumn="0" w:lastRow="0" w:noHBand="0" w:noVBand="1" w:val="04A0"/>
      </w:tblPr>
      <w:tblGrid>
        <w:gridCol w:w="4680"/>
        <w:gridCol w:w="4680"/>
      </w:tblGrid>
      <w:tr>
        <w:tc>
          <w:tcPr>
            <w:tcW w:type="dxa" w:w="4680"/>
          </w:tcPr>
          <w:p>
            <w:r>
              <w:rPr>
                <w:b/>
                <w:sz w:val="20"/>
              </w:rPr>
              <w:t>Asignatura</w:t>
            </w:r>
          </w:p>
        </w:tc>
        <w:tc>
          <w:tcPr>
            <w:tcW w:type="dxa" w:w="4680"/>
          </w:tcPr>
          <w:p>
            <w:r>
              <w:rPr>
                <w:sz w:val="20"/>
              </w:rPr>
              <w:t>Bases de Datos</w:t>
            </w:r>
          </w:p>
        </w:tc>
      </w:tr>
      <w:tr>
        <w:tc>
          <w:tcPr>
            <w:tcW w:type="dxa" w:w="4680"/>
          </w:tcPr>
          <w:p>
            <w:r>
              <w:rPr>
                <w:b/>
                <w:sz w:val="20"/>
              </w:rPr>
              <w:t>Estudiante</w:t>
            </w:r>
          </w:p>
        </w:tc>
        <w:tc>
          <w:tcPr>
            <w:tcW w:type="dxa" w:w="4680"/>
          </w:tcPr>
          <w:p>
            <w:r>
              <w:rPr>
                <w:sz w:val="20"/>
              </w:rPr>
              <w:t>Krishna Moya Cervantes</w:t>
            </w:r>
          </w:p>
        </w:tc>
      </w:tr>
      <w:tr>
        <w:tc>
          <w:tcPr>
            <w:tcW w:type="dxa" w:w="4680"/>
          </w:tcPr>
          <w:p>
            <w:r>
              <w:rPr>
                <w:b/>
                <w:sz w:val="20"/>
              </w:rPr>
              <w:t>Fecha</w:t>
            </w:r>
          </w:p>
        </w:tc>
        <w:tc>
          <w:tcPr>
            <w:tcW w:type="dxa" w:w="4680"/>
          </w:tcPr>
          <w:p>
            <w:r>
              <w:rPr>
                <w:sz w:val="20"/>
              </w:rPr>
              <w:t>Octubre 2026</w:t>
            </w:r>
          </w:p>
        </w:tc>
      </w:tr>
      <w:tr>
        <w:tc>
          <w:tcPr>
            <w:tcW w:type="dxa" w:w="4680"/>
          </w:tcPr>
          <w:p>
            <w:r>
              <w:rPr>
                <w:b/>
                <w:sz w:val="20"/>
              </w:rPr>
              <w:t>Repositorio Oficial</w:t>
            </w:r>
          </w:p>
        </w:tc>
        <w:tc>
          <w:tcPr>
            <w:tcW w:type="dxa" w:w="4680"/>
          </w:tcPr>
          <w:p>
            <w:r>
              <w:rPr>
                <w:sz w:val="20"/>
              </w:rPr>
              <w:t>https://github.com/krishna7867s/laboratorio-3</w:t>
            </w:r>
          </w:p>
        </w:tc>
      </w:tr>
      <w:tr>
        <w:tc>
          <w:tcPr>
            <w:tcW w:type="dxa" w:w="4680"/>
          </w:tcPr>
          <w:p>
            <w:r>
              <w:rPr>
                <w:b/>
                <w:sz w:val="20"/>
              </w:rPr>
              <w:t>Gestor Seleccionado</w:t>
            </w:r>
          </w:p>
        </w:tc>
        <w:tc>
          <w:tcPr>
            <w:tcW w:type="dxa" w:w="4680"/>
          </w:tcPr>
          <w:p>
            <w:r>
              <w:rPr>
                <w:sz w:val="20"/>
              </w:rPr>
              <w:t>PostgreSQL 16 (Cloud en Neon.tech y Local)</w:t>
            </w:r>
          </w:p>
        </w:tc>
      </w:tr>
      <w:tr>
        <w:tc>
          <w:tcPr>
            <w:tcW w:type="dxa" w:w="4680"/>
          </w:tcPr>
          <w:p>
            <w:r>
              <w:rPr>
                <w:b/>
                <w:sz w:val="20"/>
              </w:rPr>
              <w:t>Modelo de Lenguaje</w:t>
            </w:r>
          </w:p>
        </w:tc>
        <w:tc>
          <w:tcPr>
            <w:tcW w:type="dxa" w:w="4680"/>
          </w:tcPr>
          <w:p>
            <w:r>
              <w:rPr>
                <w:sz w:val="20"/>
              </w:rPr>
              <w:t>DeepSeek Chat Model (n8n LangChain Agent)</w:t>
            </w:r>
          </w:p>
        </w:tc>
      </w:tr>
    </w:tbl>
    <w:p>
      <w:pPr>
        <w:spacing w:after="280"/>
      </w:pPr>
    </w:p>
    <w:p>
      <w:pPr>
        <w:spacing w:before="320" w:after="120"/>
      </w:pPr>
      <w:r>
        <w:rPr>
          <w:b/>
          <w:color w:val="0F2D59"/>
          <w:sz w:val="28"/>
        </w:rPr>
        <w:t>PARTE I - SECCIÓN A: BASES DE DATOS Y SQL</w:t>
      </w:r>
    </w:p>
    <w:p>
      <w:pPr>
        <w:spacing w:before="240" w:after="80"/>
      </w:pPr>
      <w:r>
        <w:rPr>
          <w:b/>
          <w:color w:val="0E7490"/>
          <w:sz w:val="24"/>
        </w:rPr>
        <w:t>1. ¿Qué es una base de datos y un Sistema Gestor de Bases de Datos (SGBD)?</w:t>
      </w:r>
    </w:p>
    <w:p>
      <w:pPr>
        <w:spacing w:after="120" w:line="276" w:lineRule="auto"/>
        <w:jc w:val="both"/>
      </w:pPr>
      <w:r>
        <w:t>Una base de datos es una colección organizada, estructurada y persistente de datos interrelacionados que representan eventos o estados de un dominio del mundo real. En el caso de una aduana, la base de datos almacena el registro histórico de los cargamentos que ingresan al país, las empresas importadoras, los aranceles cancelados y el inventario en bodegas.</w:t>
      </w:r>
    </w:p>
    <w:p>
      <w:pPr>
        <w:spacing w:after="120" w:line="276" w:lineRule="auto"/>
        <w:jc w:val="both"/>
      </w:pPr>
      <w:r>
        <w:t>Un Sistema Gestor de Bases de Datos (SGBD o DBMS) es el software especializado encargado de intermediar entre las aplicaciones/usuarios y el almacenamiento físico en disco. Garantiza la concurrencia, seguridad y el cumplimiento de las propiedades ACID:</w:t>
      </w:r>
    </w:p>
    <w:p>
      <w:pPr>
        <w:pStyle w:val="ListBullet"/>
        <w:spacing w:after="60"/>
      </w:pPr>
      <w:r>
        <w:rPr>
          <w:b/>
        </w:rPr>
        <w:t xml:space="preserve">Atomicidad: </w:t>
      </w:r>
      <w:r>
        <w:t>Una transacción aduanera (ej. despacho y rebaja de stock) se ejecuta en su totalidad o no se ejecuta nada (rollback).</w:t>
      </w:r>
    </w:p>
    <w:p>
      <w:pPr>
        <w:pStyle w:val="ListBullet"/>
        <w:spacing w:after="60"/>
      </w:pPr>
      <w:r>
        <w:rPr>
          <w:b/>
        </w:rPr>
        <w:t xml:space="preserve">Consistencia: </w:t>
      </w:r>
      <w:r>
        <w:t>Los datos siempre respetan las reglas de negocio (ej. el arancel no puede ser negativo ni exceder el 100%).</w:t>
      </w:r>
    </w:p>
    <w:p>
      <w:pPr>
        <w:pStyle w:val="ListBullet"/>
        <w:spacing w:after="60"/>
      </w:pPr>
      <w:r>
        <w:rPr>
          <w:b/>
        </w:rPr>
        <w:t xml:space="preserve">Aislamiento: </w:t>
      </w:r>
      <w:r>
        <w:t>Dos inspectores aforando cargamentos distintos no interfieren ni ven estados intermedios inconsistentes.</w:t>
      </w:r>
    </w:p>
    <w:p>
      <w:pPr>
        <w:pStyle w:val="ListBullet"/>
        <w:spacing w:after="60"/>
      </w:pPr>
      <w:r>
        <w:rPr>
          <w:b/>
        </w:rPr>
        <w:t xml:space="preserve">Durabilidad: </w:t>
      </w:r>
      <w:r>
        <w:t>Una vez confirmada una liquidación (commit), la información subsiste incluso ante fallos de energía en el servidor.</w:t>
      </w:r>
    </w:p>
    <w:p>
      <w:pPr>
        <w:spacing w:before="240" w:after="80"/>
      </w:pPr>
      <w:r>
        <w:rPr>
          <w:b/>
          <w:color w:val="0E7490"/>
          <w:sz w:val="24"/>
        </w:rPr>
        <w:t>2. Diferencias entre base de datos relacional (SQL) y no relacional (NoSQL)</w:t>
      </w:r>
    </w:p>
    <w:p>
      <w:pPr>
        <w:spacing w:after="120" w:line="276" w:lineRule="auto"/>
        <w:jc w:val="both"/>
      </w:pPr>
      <w:r>
        <w:t>Las bases de datos relacionales (SQL) organizan la información en tablas bidimensionales con filas y columnas bajo un esquema estricto y predefinido (Schema-on-write). Su fortaleza radica en el cumplimiento absoluto de las propiedades ACID y la integridad referencial mediante llaves foráneas, siendo el estándar idóneo para liquidación de aranceles, declaraciones aduaneras y contabilidad fiscal.</w:t>
      </w:r>
    </w:p>
    <w:p>
      <w:pPr>
        <w:spacing w:after="120" w:line="276" w:lineRule="auto"/>
        <w:jc w:val="both"/>
      </w:pPr>
      <w:r>
        <w:t>Por otro lado, las bases de datos no relacionales (NoSQL) utilizan modelos dinámicos basados en documentos (JSON), pares clave-valor, columnas anchas o grafos sin un esquema fijo (Schema-on-read). Priorizan la escalabilidad horizontal y la disponibilidad continua (modelo BASE), siendo idóneas para telemetría de sensores en contenedores o registro masivo de eventos IoT.</w:t>
      </w:r>
    </w:p>
    <w:p>
      <w:pPr>
        <w:spacing w:before="240" w:after="80"/>
      </w:pPr>
      <w:r>
        <w:rPr>
          <w:b/>
          <w:color w:val="0E7490"/>
          <w:sz w:val="24"/>
        </w:rPr>
        <w:t>3. Tabla, registro (fila), campo (columna) y tipos de datos</w:t>
      </w:r>
    </w:p>
    <w:p>
      <w:pPr>
        <w:pStyle w:val="ListBullet"/>
        <w:spacing w:after="60"/>
      </w:pPr>
      <w:r>
        <w:rPr>
          <w:b/>
        </w:rPr>
        <w:t xml:space="preserve">Tabla (Relación): </w:t>
      </w:r>
      <w:r>
        <w:t>Estructura nombrada compuesta por filas y columnas que representa una entidad del negocio (ej. declaracion_aduanera, contenedor, bodega).</w:t>
      </w:r>
    </w:p>
    <w:p>
      <w:pPr>
        <w:pStyle w:val="ListBullet"/>
        <w:spacing w:after="60"/>
      </w:pPr>
      <w:r>
        <w:rPr>
          <w:b/>
        </w:rPr>
        <w:t xml:space="preserve">Registro (Fila / Tupla): </w:t>
      </w:r>
      <w:r>
        <w:t>Instancia única dentro de una tabla que representa una ocurrencia real (ej. el contenedor MSKU2948102 con 18,450 kg de peso bruto).</w:t>
      </w:r>
    </w:p>
    <w:p>
      <w:pPr>
        <w:pStyle w:val="ListBullet"/>
        <w:spacing w:after="60"/>
      </w:pPr>
      <w:r>
        <w:rPr>
          <w:b/>
        </w:rPr>
        <w:t xml:space="preserve">Campo (Columna / Atributo): </w:t>
      </w:r>
      <w:r>
        <w:t>Propiedad individual con nombre y tipo de dato específico (ej. nombre, codigo_iso, fecha_registro).</w:t>
      </w:r>
    </w:p>
    <w:p>
      <w:pPr>
        <w:pStyle w:val="ListBullet"/>
        <w:spacing w:after="60"/>
      </w:pPr>
      <w:r>
        <w:rPr>
          <w:b/>
        </w:rPr>
        <w:t xml:space="preserve">Tipos de datos comunes: </w:t>
      </w:r>
      <w:r>
        <w:t>SERIAL/INTEGER (identificadores numéricos), VARCHAR(n) (cadenas de texto), DECIMAL(p,s) (números de precisión exacta para finanzas y aranceles), DATE/TIMESTAMP (fechas y horas de aforo) y BOOLEAN (banderas de verdadero/falso).</w:t>
      </w:r>
    </w:p>
    <w:p>
      <w:pPr>
        <w:spacing w:before="240" w:after="80"/>
      </w:pPr>
      <w:r>
        <w:rPr>
          <w:b/>
          <w:color w:val="0E7490"/>
          <w:sz w:val="24"/>
        </w:rPr>
        <w:t>4. Llave primaria (PK), llave foránea (FK) y llave compuesta</w:t>
      </w:r>
    </w:p>
    <w:p>
      <w:pPr>
        <w:pStyle w:val="ListBullet"/>
        <w:spacing w:after="60"/>
      </w:pPr>
      <w:r>
        <w:rPr>
          <w:b/>
        </w:rPr>
        <w:t xml:space="preserve">Llave Primaria (PK): </w:t>
      </w:r>
      <w:r>
        <w:t>Atributo o conjunto de atributos que identifica unívocamente a cada fila de una tabla. Debe ser obligatoria (NOT NULL) y no duplicable (ej. id_declaracion).</w:t>
      </w:r>
    </w:p>
    <w:p>
      <w:pPr>
        <w:pStyle w:val="ListBullet"/>
        <w:spacing w:after="60"/>
      </w:pPr>
      <w:r>
        <w:rPr>
          <w:b/>
        </w:rPr>
        <w:t xml:space="preserve">Llave Foránea (FK): </w:t>
      </w:r>
      <w:r>
        <w:t>Atributo de una tabla que referencia a la llave primaria de otra tabla, garantizando la integridad referencial (ej. id_pais_origen en la tabla declaracion_aduanera).</w:t>
      </w:r>
    </w:p>
    <w:p>
      <w:pPr>
        <w:pStyle w:val="ListBullet"/>
        <w:spacing w:after="60"/>
      </w:pPr>
      <w:r>
        <w:rPr>
          <w:b/>
        </w:rPr>
        <w:t xml:space="preserve">Llave Compuesta: </w:t>
      </w:r>
      <w:r>
        <w:t>Llave integrada por dos o más atributos combinados (ej. en inventario, la combinación de id_bodega, id_producto, id_declaracion y ubicacion_pasillo_rack).</w:t>
      </w:r>
    </w:p>
    <w:p>
      <w:pPr>
        <w:spacing w:before="240" w:after="80"/>
      </w:pPr>
      <w:r>
        <w:rPr>
          <w:b/>
          <w:color w:val="0E7490"/>
          <w:sz w:val="24"/>
        </w:rPr>
        <w:t>5. Tipos de relaciones y su implementación</w:t>
      </w:r>
    </w:p>
    <w:p>
      <w:pPr>
        <w:pStyle w:val="ListBullet"/>
        <w:spacing w:after="60"/>
      </w:pPr>
      <w:r>
        <w:rPr>
          <w:b/>
        </w:rPr>
        <w:t xml:space="preserve">Relación Uno a Uno (1:1): </w:t>
      </w:r>
      <w:r>
        <w:t>Un registro de A se relaciona con un único registro de B. Se implementa con la PK de una como FK en la otra con restricción UNIQUE (ej. un contenedor y su precinto satelital de seguridad).</w:t>
      </w:r>
    </w:p>
    <w:p>
      <w:pPr>
        <w:pStyle w:val="ListBullet"/>
        <w:spacing w:after="60"/>
      </w:pPr>
      <w:r>
        <w:rPr>
          <w:b/>
        </w:rPr>
        <w:t xml:space="preserve">Relación Uno a Muchos (1:N): </w:t>
      </w:r>
      <w:r>
        <w:t>Un registro de A se relaciona con varios de B. Se implementa colocando la PK de la tabla padre como FK en la tabla hija (ej. un país de origen genera múltiples declaraciones aduaneras).</w:t>
      </w:r>
    </w:p>
    <w:p>
      <w:pPr>
        <w:pStyle w:val="ListBullet"/>
        <w:spacing w:after="60"/>
      </w:pPr>
      <w:r>
        <w:rPr>
          <w:b/>
        </w:rPr>
        <w:t xml:space="preserve">Relación Muchos a Muchos (N:M): </w:t>
      </w:r>
      <w:r>
        <w:t>Un registro de A se vincula con muchos de B y viceversa. Se resuelve obligatoriamente mediante una tabla intermedia con dos llaves foráneas. En nuestro sistema, la tabla detalle_declaracion conecta declaraciones con productos, añadiendo atributos propios como cantidad y valor total FOB.</w:t>
      </w:r>
    </w:p>
    <w:p>
      <w:pPr>
        <w:pStyle w:val="ListBullet"/>
        <w:spacing w:after="60"/>
      </w:pPr>
      <w:r>
        <w:rPr>
          <w:b/>
        </w:rPr>
        <w:t xml:space="preserve">Relación Recursiva: </w:t>
      </w:r>
      <w:r>
        <w:t>Una tabla se relaciona consigo misma. En la tabla funcionario, el campo id_supervisor referencia a id_funcionario de la misma tabla, modelando la jerarquía de supervisión aduanera.</w:t>
      </w:r>
    </w:p>
    <w:p>
      <w:pPr>
        <w:spacing w:before="240" w:after="80"/>
      </w:pPr>
      <w:r>
        <w:rPr>
          <w:b/>
          <w:color w:val="0E7490"/>
          <w:sz w:val="24"/>
        </w:rPr>
        <w:t>6. Integridad referencial y restricciones</w:t>
      </w:r>
    </w:p>
    <w:p>
      <w:pPr>
        <w:pStyle w:val="ListBullet"/>
        <w:spacing w:after="60"/>
      </w:pPr>
      <w:r>
        <w:rPr>
          <w:b/>
        </w:rPr>
        <w:t xml:space="preserve">NOT NULL: </w:t>
      </w:r>
      <w:r>
        <w:t>Obliga a que el campo contenga siempre un valor válido.</w:t>
      </w:r>
    </w:p>
    <w:p>
      <w:pPr>
        <w:pStyle w:val="ListBullet"/>
        <w:spacing w:after="60"/>
      </w:pPr>
      <w:r>
        <w:rPr>
          <w:b/>
        </w:rPr>
        <w:t xml:space="preserve">UNIQUE: </w:t>
      </w:r>
      <w:r>
        <w:t>Impide que se repitan valores idénticos en la columna (ej. número de DUA o NIT del importador).</w:t>
      </w:r>
    </w:p>
    <w:p>
      <w:pPr>
        <w:pStyle w:val="ListBullet"/>
        <w:spacing w:after="60"/>
      </w:pPr>
      <w:r>
        <w:rPr>
          <w:b/>
        </w:rPr>
        <w:t xml:space="preserve">CHECK: </w:t>
      </w:r>
      <w:r>
        <w:t>Valida que el valor cumpla una expresión lógica estricta (ej. porcentaje de arancel entre 0 y 100).</w:t>
      </w:r>
    </w:p>
    <w:p>
      <w:pPr>
        <w:pStyle w:val="ListBullet"/>
        <w:spacing w:after="60"/>
      </w:pPr>
      <w:r>
        <w:rPr>
          <w:b/>
        </w:rPr>
        <w:t xml:space="preserve">DEFAULT: </w:t>
      </w:r>
      <w:r>
        <w:t>Asigna un valor automático si no se especifica (ej. estado = 'Retenida' o CURRENT_DATE).</w:t>
      </w:r>
    </w:p>
    <w:p>
      <w:pPr>
        <w:spacing w:before="240" w:after="80"/>
      </w:pPr>
      <w:r>
        <w:rPr>
          <w:b/>
          <w:color w:val="0E7490"/>
          <w:sz w:val="24"/>
        </w:rPr>
        <w:t>7. Lenguajes DDL y DML en SQL</w:t>
      </w:r>
    </w:p>
    <w:p>
      <w:pPr>
        <w:pStyle w:val="ListBullet"/>
        <w:spacing w:after="60"/>
      </w:pPr>
      <w:r>
        <w:rPr>
          <w:b/>
        </w:rPr>
        <w:t xml:space="preserve">DDL (Data Definition Language): </w:t>
      </w:r>
      <w:r>
        <w:t>Define la estructura: CREATE TABLE (crear tablas), ALTER TABLE (modificar columnas) y DROP TABLE (eliminar tablas).</w:t>
      </w:r>
    </w:p>
    <w:p>
      <w:pPr>
        <w:pStyle w:val="ListBullet"/>
        <w:spacing w:after="60"/>
      </w:pPr>
      <w:r>
        <w:rPr>
          <w:b/>
        </w:rPr>
        <w:t xml:space="preserve">DML (Data Manipulation Language): </w:t>
      </w:r>
      <w:r>
        <w:t>Opera los datos: INSERT INTO (insertar), SELECT (consultar), UPDATE (actualizar), DELETE (eliminar) y JOIN (unir tablas relacionadas).</w:t>
      </w:r>
    </w:p>
    <w:p>
      <w:pPr>
        <w:spacing w:before="240" w:after="80"/>
      </w:pPr>
      <w:r>
        <w:rPr>
          <w:b/>
          <w:color w:val="0E7490"/>
          <w:sz w:val="24"/>
        </w:rPr>
        <w:t>8. Normalización (1FN, 2FN y 3FN)</w:t>
      </w:r>
    </w:p>
    <w:p>
      <w:pPr>
        <w:spacing w:after="120" w:line="276" w:lineRule="auto"/>
        <w:jc w:val="both"/>
      </w:pPr>
      <w:r>
        <w:t>La normalización es el proceso formal que elimina la redundancia de datos y previene anomalías de inserción, actualización y borrado:</w:t>
      </w:r>
    </w:p>
    <w:p>
      <w:pPr>
        <w:pStyle w:val="ListBullet"/>
        <w:spacing w:after="60"/>
      </w:pPr>
      <w:r>
        <w:rPr>
          <w:b/>
        </w:rPr>
        <w:t xml:space="preserve">Primera Forma Normal (1FN): </w:t>
      </w:r>
      <w:r>
        <w:t>Exige atomicidad en todos los atributos y ausencia de grupos repetitivos o listas separadas por comas.</w:t>
      </w:r>
    </w:p>
    <w:p>
      <w:pPr>
        <w:pStyle w:val="ListBullet"/>
        <w:spacing w:after="60"/>
      </w:pPr>
      <w:r>
        <w:rPr>
          <w:b/>
        </w:rPr>
        <w:t xml:space="preserve">Segunda Forma Normal (2FN): </w:t>
      </w:r>
      <w:r>
        <w:t>Estando en 1FN, ningún atributo no clave debe depender parcialmente de una clave primaria compuesta.</w:t>
      </w:r>
    </w:p>
    <w:p>
      <w:pPr>
        <w:pStyle w:val="ListBullet"/>
        <w:spacing w:after="60"/>
      </w:pPr>
      <w:r>
        <w:rPr>
          <w:b/>
        </w:rPr>
        <w:t xml:space="preserve">Tercera Forma Normal (3FN): </w:t>
      </w:r>
      <w:r>
        <w:t>Estando en 2FN, no deben existir dependencias transitivas entre atributos no clave (ej. separar categoria_arancelaria de la tabla producto).</w:t>
      </w:r>
    </w:p>
    <w:p>
      <w:pPr>
        <w:spacing w:before="240" w:after="80"/>
      </w:pPr>
      <w:r>
        <w:rPr>
          <w:b/>
          <w:color w:val="0E7490"/>
          <w:sz w:val="24"/>
        </w:rPr>
        <w:t>9. Diagrama Entidad-Relación: Chen vs Pata de Gallo</w:t>
      </w:r>
    </w:p>
    <w:p>
      <w:pPr>
        <w:spacing w:after="120" w:line="276" w:lineRule="auto"/>
        <w:jc w:val="both"/>
      </w:pPr>
      <w:r>
        <w:t>La Notación Chen representa entidades en rectángulos, relaciones en rombos y atributos en elipses, siendo altamente pedagógica. La Notación Pata de Gallo (Crow's Foot) es el estándar industrial moderno que muestra cajas estructuradas con tipos de datos, PK, FK y conectores con símbolos de barra (uno) y patas divergentes (muchos), correspondiéndose 1:1 con el script SQL físico.</w:t>
      </w:r>
    </w:p>
    <w:p>
      <w:pPr>
        <w:spacing w:before="320" w:after="120"/>
      </w:pPr>
      <w:r>
        <w:rPr>
          <w:b/>
          <w:color w:val="0F2D59"/>
          <w:sz w:val="28"/>
        </w:rPr>
        <w:t>PARTE I - SECCIÓN B: COMPARACIÓN Y JUSTIFICACIÓN DE GESTORES</w:t>
      </w:r>
    </w:p>
    <w:p>
      <w:pPr>
        <w:spacing w:after="120" w:line="276" w:lineRule="auto"/>
        <w:jc w:val="both"/>
      </w:pPr>
      <w:r>
        <w:t>Se evaluaron los tres gestores autorizados en la guía:</w:t>
      </w:r>
    </w:p>
    <w:p>
      <w:pPr>
        <w:pStyle w:val="ListBullet"/>
        <w:spacing w:after="60"/>
      </w:pPr>
      <w:r>
        <w:rPr>
          <w:b/>
        </w:rPr>
        <w:t xml:space="preserve">SQLite: </w:t>
      </w:r>
      <w:r>
        <w:t>Base de datos en un solo archivo sin servidor. Excelente para aprendizaje local pero limitada en concurrencia masiva y de conexión indirecta con n8n.</w:t>
      </w:r>
    </w:p>
    <w:p>
      <w:pPr>
        <w:pStyle w:val="ListBullet"/>
        <w:spacing w:after="60"/>
      </w:pPr>
      <w:r>
        <w:rPr>
          <w:b/>
        </w:rPr>
        <w:t xml:space="preserve">MySQL (InnoDB): </w:t>
      </w:r>
      <w:r>
        <w:t>Gestor cliente-servidor muy popular con soporte de transacciones a nivel de fila y nodo nativo en n8n.</w:t>
      </w:r>
    </w:p>
    <w:p>
      <w:pPr>
        <w:pStyle w:val="ListBullet"/>
        <w:spacing w:after="60"/>
      </w:pPr>
      <w:r>
        <w:rPr>
          <w:b/>
        </w:rPr>
        <w:t xml:space="preserve">PostgreSQL 16: </w:t>
      </w:r>
      <w:r>
        <w:t>Gestor avanzado de tipado fuerte y concurrencia MVCC de alta fidelidad.</w:t>
      </w:r>
    </w:p>
    <w:p>
      <w:pPr>
        <w:spacing w:after="120" w:line="276" w:lineRule="auto"/>
        <w:jc w:val="both"/>
      </w:pPr>
      <w:r>
        <w:t>Justificación de Elección: Se seleccionó PostgreSQL por su precisión matemática en tipos DECIMAL(14,2) para aranceles, su sistema de permisos de solo lectura (GRANT SELECT) para blindar la seguridad del agente de IA, y su perfecta integración nativa en n8n Cloud mediante Neon.tech.</w:t>
      </w:r>
    </w:p>
    <w:p>
      <w:pPr>
        <w:spacing w:before="320" w:after="120"/>
      </w:pPr>
      <w:r>
        <w:rPr>
          <w:b/>
          <w:color w:val="0F2D59"/>
          <w:sz w:val="28"/>
        </w:rPr>
        <w:t>PARTE I - SECCIÓN C: n8n Y AGENTES DE INTELIGENCIA ARTIFICIAL</w:t>
      </w:r>
    </w:p>
    <w:p>
      <w:pPr>
        <w:pStyle w:val="ListBullet"/>
        <w:spacing w:after="60"/>
      </w:pPr>
      <w:r>
        <w:rPr>
          <w:b/>
        </w:rPr>
        <w:t xml:space="preserve">¿Qué es n8n?: </w:t>
      </w:r>
      <w:r>
        <w:t>Plataforma de automatización de flujos de trabajo basada en nodos de código abierto y extensible.</w:t>
      </w:r>
    </w:p>
    <w:p>
      <w:pPr>
        <w:pStyle w:val="ListBullet"/>
        <w:spacing w:after="60"/>
      </w:pPr>
      <w:r>
        <w:rPr>
          <w:b/>
        </w:rPr>
        <w:t xml:space="preserve">Nodo, Trigger y Credencial: </w:t>
      </w:r>
      <w:r>
        <w:t>El nodo ejecuta una acción, el trigger inicia el flujo ante un evento (ej. mensaje de chat) y la credencial almacena de forma cifrada las claves de acceso.</w:t>
      </w:r>
    </w:p>
    <w:p>
      <w:pPr>
        <w:pStyle w:val="ListBullet"/>
        <w:spacing w:after="60"/>
      </w:pPr>
      <w:r>
        <w:rPr>
          <w:b/>
        </w:rPr>
        <w:t xml:space="preserve">Agente de IA vs Chatbot Normal: </w:t>
      </w:r>
      <w:r>
        <w:t>Un chatbot normal opera con respuestas estáticas o menús rígidos. Un Agente de IA utiliza una arquitectura ReAct (Razonamiento y Acción): analiza la pregunta humana, decide autónomamente qué consulta SQL formular contra la base de datos, ejecuta la herramienta y redacta la conclusión en lenguaje natural.</w:t>
      </w:r>
    </w:p>
    <w:p>
      <w:pPr>
        <w:pStyle w:val="ListBullet"/>
        <w:spacing w:after="60"/>
      </w:pPr>
      <w:r>
        <w:rPr>
          <w:b/>
        </w:rPr>
        <w:t xml:space="preserve">LLM y Herramientas (Tools): </w:t>
      </w:r>
      <w:r>
        <w:t>El LLM (DeepSeek) actúa como el cerebro cognitivo. Las herramientas (Postgres Tool) le permiten interactuar con el mundo exterior y consultar los datos reales de la aduana.</w:t>
      </w:r>
    </w:p>
    <w:p>
      <w:pPr>
        <w:pStyle w:val="ListBullet"/>
        <w:spacing w:after="60"/>
      </w:pPr>
      <w:r>
        <w:rPr>
          <w:b/>
        </w:rPr>
        <w:t xml:space="preserve">Seguridad en la Base de Datos: </w:t>
      </w:r>
      <w:r>
        <w:t>Se aplica el Principio de Menor Privilegio mediante un usuario con permiso exclusivo de SELECT, prompt restrictivo y cláusulas LIMIT obligatorias.</w:t>
      </w:r>
    </w:p>
    <w:p>
      <w:pPr>
        <w:spacing w:before="320" w:after="120"/>
      </w:pPr>
      <w:r>
        <w:rPr>
          <w:b/>
          <w:color w:val="0F2D59"/>
          <w:sz w:val="28"/>
        </w:rPr>
        <w:t>PARTE I - SECCIÓN D: DOMINIO DEL NEGOCIO ADUANERO</w:t>
      </w:r>
    </w:p>
    <w:p>
      <w:pPr>
        <w:pStyle w:val="ListBullet"/>
        <w:spacing w:after="60"/>
      </w:pPr>
      <w:r>
        <w:rPr>
          <w:b/>
        </w:rPr>
        <w:t xml:space="preserve">Aduana y Declaración DUA: </w:t>
      </w:r>
      <w:r>
        <w:t>La aduana es el órgano estatal de control fronterizo y tributario. La DUA es el documento legal donde el consignatario declara la naturaleza, cantidad y valor de las mercancías.</w:t>
      </w:r>
    </w:p>
    <w:p>
      <w:pPr>
        <w:pStyle w:val="ListBullet"/>
        <w:spacing w:after="60"/>
      </w:pPr>
      <w:r>
        <w:rPr>
          <w:b/>
        </w:rPr>
        <w:t xml:space="preserve">Partida Arancelaria y Arancel: </w:t>
      </w:r>
      <w:r>
        <w:t>La partida es el código universal de 6 a 10 dígitos del Sistema Armonizado de la OMA (ej. 8471 para laptops). El arancel es el impuesto aplicado (ad-valorem o específico).</w:t>
      </w:r>
    </w:p>
    <w:p>
      <w:pPr>
        <w:pStyle w:val="ListBullet"/>
        <w:spacing w:after="60"/>
      </w:pPr>
      <w:r>
        <w:rPr>
          <w:b/>
        </w:rPr>
        <w:t xml:space="preserve">Regímenes Aduaneros: </w:t>
      </w:r>
      <w:r>
        <w:t>Importación Definitiva (nacionalización con pago de tributos), Exportación Definitiva (salida legal al exterior), Tránsito Aduanero (cruce temporal hacia un tercer país sin tributar) y Depósito Aduanero (almacén fiscal con pago diferido).</w:t>
      </w:r>
    </w:p>
    <w:p>
      <w:pPr>
        <w:pStyle w:val="ListBullet"/>
        <w:spacing w:after="60"/>
      </w:pPr>
      <w:r>
        <w:rPr>
          <w:b/>
        </w:rPr>
        <w:t xml:space="preserve">Agente Aduanal: </w:t>
      </w:r>
      <w:r>
        <w:t>Auxiliar de la función pública con fe legal y responsabilidad solidaria en la correcta clasificación y valoración de las mercancías.</w:t>
      </w:r>
    </w:p>
    <w:p>
      <w:pPr>
        <w:spacing w:before="320" w:after="120"/>
      </w:pPr>
      <w:r>
        <w:rPr>
          <w:b/>
          <w:color w:val="0F2D59"/>
          <w:sz w:val="28"/>
        </w:rPr>
        <w:t>PARTE I - SECCIÓN E: DOCUMENTACIÓN DEL USO DE INTELIGENCIA ARTIFICIAL</w:t>
      </w:r>
    </w:p>
    <w:p>
      <w:pPr>
        <w:pStyle w:val="ListBullet"/>
        <w:spacing w:after="60"/>
      </w:pPr>
      <w:r>
        <w:rPr>
          <w:b/>
        </w:rPr>
        <w:t xml:space="preserve">Herramientas Utilizadas: </w:t>
      </w:r>
      <w:r>
        <w:t>Antigravity IDE y Gemini 3.8 Flash como asistentes de arquitectura de software, validación relacional, generación sintética de datos aduaneros bajo norma ISO 6346 y verificación de flujos n8n.</w:t>
      </w:r>
    </w:p>
    <w:p>
      <w:pPr>
        <w:pStyle w:val="ListBullet"/>
        <w:spacing w:after="60"/>
      </w:pPr>
      <w:r>
        <w:rPr>
          <w:b/>
        </w:rPr>
        <w:t xml:space="preserve">Prompts de Ejemplo: </w:t>
      </w:r>
      <w:r>
        <w:t>1) 'Diseña un esquema en 3FN para un sistema aduanero de 13 tablas con tabla intermedia N:M y supervisión recursiva.' 2) 'Genera 16 registros por tabla con partidas arancelarias reales del SA y cargamentos retenidos de China en Bodega 2.' 3) 'Redacta un System Prompt defensivo para n8n con permisos de solo lectura SELECT.'</w:t>
      </w:r>
    </w:p>
    <w:p>
      <w:pPr>
        <w:pStyle w:val="ListBullet"/>
        <w:spacing w:after="60"/>
      </w:pPr>
      <w:r>
        <w:rPr>
          <w:b/>
        </w:rPr>
        <w:t xml:space="preserve">Aprendizajes Obtenidos: </w:t>
      </w:r>
      <w:r>
        <w:t>La IA aceleró significativamente el desarrollo de datos y la formulación del esquema, pero la supervisión humana fue crítica para auditar la integridad de las llaves foráneas y garantizar la coherencia matemática de los aranceles.</w:t>
      </w:r>
    </w:p>
    <w:p>
      <w:pPr>
        <w:spacing w:before="320" w:after="120"/>
      </w:pPr>
      <w:r>
        <w:rPr>
          <w:b/>
          <w:color w:val="0F2D59"/>
          <w:sz w:val="28"/>
        </w:rPr>
        <w:t>PARTE I - SECCIÓN F: FUENTES Y BIBLIOGRAFÍA</w:t>
      </w:r>
    </w:p>
    <w:p>
      <w:pPr>
        <w:spacing w:after="120" w:line="276" w:lineRule="auto"/>
        <w:jc w:val="both"/>
      </w:pPr>
      <w:r>
        <w:t>1. Silberschatz, A., Korth, H. F., &amp; Sudarshan, S. (2020). Database System Concepts (7.ª ed.). McGraw-Hill Education.</w:t>
      </w:r>
    </w:p>
    <w:p>
      <w:pPr>
        <w:spacing w:after="120" w:line="276" w:lineRule="auto"/>
        <w:jc w:val="both"/>
      </w:pPr>
      <w:r>
        <w:t>2. Elmasri, R., &amp; Navathe, S. B. (2017). Fundamentals of Database Systems (7.ª ed.). Pearson.</w:t>
      </w:r>
    </w:p>
    <w:p>
      <w:pPr>
        <w:spacing w:after="120" w:line="276" w:lineRule="auto"/>
        <w:jc w:val="both"/>
      </w:pPr>
      <w:r>
        <w:t>3. Organización Mundial de Aduanas (OMA / WCO). (2022). Nomenclatura del Sistema Armonizado de Designación y Codificación de Mercancías. Bruselas, Bélgica.</w:t>
      </w:r>
    </w:p>
    <w:p>
      <w:pPr>
        <w:spacing w:after="120" w:line="276" w:lineRule="auto"/>
        <w:jc w:val="both"/>
      </w:pPr>
      <w:r>
        <w:t>4. PostgreSQL Global Development Group. (2024). PostgreSQL 16 Documentation: SQL Commands, Privileges and Concurrency Control.</w:t>
      </w:r>
    </w:p>
    <w:p>
      <w:pPr>
        <w:spacing w:after="120" w:line="276" w:lineRule="auto"/>
        <w:jc w:val="both"/>
      </w:pPr>
      <w:r>
        <w:t>5. n8n Documentation. (2024). LangChain AI Agents, Tools and Database Connectors in n8n.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