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CED" w:rsidRDefault="00D52CED" w:rsidP="00FF236B">
      <w:pPr>
        <w:spacing w:line="240" w:lineRule="auto"/>
        <w:jc w:val="both"/>
        <w:rPr>
          <w:rFonts w:ascii="Times New Roman" w:hAnsi="Times New Roman" w:cs="Times New Roman"/>
          <w:b/>
        </w:rPr>
      </w:pPr>
      <w:r w:rsidRPr="00D52CED">
        <w:rPr>
          <w:rFonts w:ascii="Times New Roman" w:hAnsi="Times New Roman" w:cs="Times New Roman"/>
          <w:b/>
        </w:rPr>
        <w:t xml:space="preserve">REPORT FOR </w:t>
      </w:r>
      <w:r w:rsidR="00EF78C2">
        <w:rPr>
          <w:rFonts w:ascii="Times New Roman" w:hAnsi="Times New Roman" w:cs="Times New Roman"/>
          <w:b/>
        </w:rPr>
        <w:t>SP3_</w:t>
      </w:r>
      <w:r w:rsidRPr="00D52CED">
        <w:rPr>
          <w:rFonts w:ascii="Times New Roman" w:hAnsi="Times New Roman" w:cs="Times New Roman"/>
          <w:b/>
        </w:rPr>
        <w:t>Q2</w:t>
      </w:r>
    </w:p>
    <w:p w:rsidR="00D52CED" w:rsidRPr="00D52CED" w:rsidRDefault="00D52CED" w:rsidP="00FF236B">
      <w:pPr>
        <w:spacing w:line="240" w:lineRule="auto"/>
        <w:jc w:val="both"/>
        <w:rPr>
          <w:rFonts w:ascii="Times New Roman" w:hAnsi="Times New Roman" w:cs="Times New Roman"/>
          <w:b/>
        </w:rPr>
      </w:pPr>
    </w:p>
    <w:p w:rsidR="008D2E0D" w:rsidRDefault="008B32A8" w:rsidP="00FF236B">
      <w:pPr>
        <w:spacing w:line="240" w:lineRule="auto"/>
        <w:jc w:val="both"/>
        <w:rPr>
          <w:rFonts w:ascii="Times New Roman" w:hAnsi="Times New Roman" w:cs="Times New Roman"/>
        </w:rPr>
      </w:pPr>
      <w:r w:rsidRPr="008B32A8">
        <w:rPr>
          <w:rFonts w:ascii="Times New Roman" w:hAnsi="Times New Roman" w:cs="Times New Roman"/>
        </w:rPr>
        <w:t>Out</w:t>
      </w:r>
      <w:r>
        <w:rPr>
          <w:rFonts w:ascii="Times New Roman" w:hAnsi="Times New Roman" w:cs="Times New Roman"/>
        </w:rPr>
        <w:t>put for running times of Single Pivot Quick Sort vs Dual Pivot Quick Sort</w:t>
      </w:r>
      <w:r w:rsidR="00B82465">
        <w:rPr>
          <w:rFonts w:ascii="Times New Roman" w:hAnsi="Times New Roman" w:cs="Times New Roman"/>
        </w:rPr>
        <w:t xml:space="preserve"> (in milliseconds) for </w:t>
      </w:r>
      <w:r w:rsidR="0035771A">
        <w:rPr>
          <w:rFonts w:ascii="Times New Roman" w:hAnsi="Times New Roman" w:cs="Times New Roman"/>
        </w:rPr>
        <w:t xml:space="preserve">an </w:t>
      </w:r>
      <w:r w:rsidR="00B82465">
        <w:rPr>
          <w:rFonts w:ascii="Times New Roman" w:hAnsi="Times New Roman" w:cs="Times New Roman"/>
        </w:rPr>
        <w:t>array</w:t>
      </w:r>
      <w:r w:rsidR="0035771A">
        <w:rPr>
          <w:rFonts w:ascii="Times New Roman" w:hAnsi="Times New Roman" w:cs="Times New Roman"/>
        </w:rPr>
        <w:t xml:space="preserve"> consisting of random elements, and is of given length</w:t>
      </w:r>
      <w:r w:rsidR="006D4767">
        <w:rPr>
          <w:rFonts w:ascii="Times New Roman" w:hAnsi="Times New Roman" w:cs="Times New Roman"/>
        </w:rPr>
        <w:t>:</w:t>
      </w:r>
      <w:r w:rsidR="00B82465">
        <w:rPr>
          <w:rFonts w:ascii="Times New Roman" w:hAnsi="Times New Roman" w:cs="Times New Roman"/>
        </w:rPr>
        <w:t xml:space="preserve"> </w:t>
      </w:r>
    </w:p>
    <w:tbl>
      <w:tblPr>
        <w:tblStyle w:val="TableGrid"/>
        <w:tblpPr w:leftFromText="180" w:rightFromText="180" w:vertAnchor="page" w:horzAnchor="margin" w:tblpY="3229"/>
        <w:tblW w:w="4988" w:type="dxa"/>
        <w:tblLook w:val="04A0" w:firstRow="1" w:lastRow="0" w:firstColumn="1" w:lastColumn="0" w:noHBand="0" w:noVBand="1"/>
      </w:tblPr>
      <w:tblGrid>
        <w:gridCol w:w="1662"/>
        <w:gridCol w:w="1663"/>
        <w:gridCol w:w="1663"/>
      </w:tblGrid>
      <w:tr w:rsidR="00582B3F" w:rsidRPr="008B32A8" w:rsidTr="00FF236B">
        <w:trPr>
          <w:trHeight w:val="104"/>
        </w:trPr>
        <w:tc>
          <w:tcPr>
            <w:tcW w:w="1662"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No. of Elements</w:t>
            </w:r>
          </w:p>
        </w:tc>
        <w:tc>
          <w:tcPr>
            <w:tcW w:w="1663"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Single Pivot Quick</w:t>
            </w:r>
            <w:r>
              <w:rPr>
                <w:rFonts w:ascii="Times New Roman" w:hAnsi="Times New Roman" w:cs="Times New Roman"/>
              </w:rPr>
              <w:t xml:space="preserve"> </w:t>
            </w:r>
            <w:r w:rsidRPr="008B32A8">
              <w:rPr>
                <w:rFonts w:ascii="Times New Roman" w:hAnsi="Times New Roman" w:cs="Times New Roman"/>
              </w:rPr>
              <w:t>Sort (</w:t>
            </w:r>
            <w:proofErr w:type="spellStart"/>
            <w:r w:rsidRPr="008B32A8">
              <w:rPr>
                <w:rFonts w:ascii="Times New Roman" w:hAnsi="Times New Roman" w:cs="Times New Roman"/>
              </w:rPr>
              <w:t>ms</w:t>
            </w:r>
            <w:proofErr w:type="spellEnd"/>
            <w:r w:rsidRPr="008B32A8">
              <w:rPr>
                <w:rFonts w:ascii="Times New Roman" w:hAnsi="Times New Roman" w:cs="Times New Roman"/>
              </w:rPr>
              <w:t>)</w:t>
            </w:r>
          </w:p>
        </w:tc>
        <w:tc>
          <w:tcPr>
            <w:tcW w:w="1663"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Dual Pivot Quick</w:t>
            </w:r>
            <w:r>
              <w:rPr>
                <w:rFonts w:ascii="Times New Roman" w:hAnsi="Times New Roman" w:cs="Times New Roman"/>
              </w:rPr>
              <w:t xml:space="preserve"> </w:t>
            </w:r>
            <w:r w:rsidRPr="008B32A8">
              <w:rPr>
                <w:rFonts w:ascii="Times New Roman" w:hAnsi="Times New Roman" w:cs="Times New Roman"/>
              </w:rPr>
              <w:t>Sort (</w:t>
            </w:r>
            <w:proofErr w:type="spellStart"/>
            <w:r w:rsidRPr="008B32A8">
              <w:rPr>
                <w:rFonts w:ascii="Times New Roman" w:hAnsi="Times New Roman" w:cs="Times New Roman"/>
              </w:rPr>
              <w:t>ms</w:t>
            </w:r>
            <w:proofErr w:type="spellEnd"/>
            <w:r w:rsidRPr="008B32A8">
              <w:rPr>
                <w:rFonts w:ascii="Times New Roman" w:hAnsi="Times New Roman" w:cs="Times New Roman"/>
              </w:rPr>
              <w:t>)</w:t>
            </w:r>
          </w:p>
        </w:tc>
      </w:tr>
      <w:tr w:rsidR="00582B3F" w:rsidRPr="008B32A8" w:rsidTr="00FF236B">
        <w:trPr>
          <w:trHeight w:val="426"/>
        </w:trPr>
        <w:tc>
          <w:tcPr>
            <w:tcW w:w="1662"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10,000</w:t>
            </w:r>
          </w:p>
        </w:tc>
        <w:tc>
          <w:tcPr>
            <w:tcW w:w="1663"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16</w:t>
            </w:r>
          </w:p>
        </w:tc>
        <w:tc>
          <w:tcPr>
            <w:tcW w:w="1663"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3</w:t>
            </w:r>
          </w:p>
        </w:tc>
      </w:tr>
      <w:tr w:rsidR="00582B3F" w:rsidRPr="008B32A8" w:rsidTr="00FF236B">
        <w:trPr>
          <w:trHeight w:val="426"/>
        </w:trPr>
        <w:tc>
          <w:tcPr>
            <w:tcW w:w="1662"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100,000</w:t>
            </w:r>
          </w:p>
        </w:tc>
        <w:tc>
          <w:tcPr>
            <w:tcW w:w="1663"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35</w:t>
            </w:r>
          </w:p>
        </w:tc>
        <w:tc>
          <w:tcPr>
            <w:tcW w:w="1663"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32</w:t>
            </w:r>
          </w:p>
        </w:tc>
      </w:tr>
      <w:tr w:rsidR="00582B3F" w:rsidRPr="008B32A8" w:rsidTr="00FF236B">
        <w:trPr>
          <w:trHeight w:val="426"/>
        </w:trPr>
        <w:tc>
          <w:tcPr>
            <w:tcW w:w="1662"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1,000,000</w:t>
            </w:r>
          </w:p>
        </w:tc>
        <w:tc>
          <w:tcPr>
            <w:tcW w:w="1663"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486</w:t>
            </w:r>
          </w:p>
        </w:tc>
        <w:tc>
          <w:tcPr>
            <w:tcW w:w="1663"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225</w:t>
            </w:r>
          </w:p>
        </w:tc>
      </w:tr>
      <w:tr w:rsidR="00582B3F" w:rsidRPr="008B32A8" w:rsidTr="00FF236B">
        <w:trPr>
          <w:trHeight w:val="426"/>
        </w:trPr>
        <w:tc>
          <w:tcPr>
            <w:tcW w:w="1662"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10,000,000</w:t>
            </w:r>
          </w:p>
        </w:tc>
        <w:tc>
          <w:tcPr>
            <w:tcW w:w="1663"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33592</w:t>
            </w:r>
          </w:p>
        </w:tc>
        <w:tc>
          <w:tcPr>
            <w:tcW w:w="1663"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3380</w:t>
            </w:r>
          </w:p>
        </w:tc>
      </w:tr>
    </w:tbl>
    <w:p w:rsidR="00D52CED" w:rsidRDefault="00D52CED" w:rsidP="00FF236B">
      <w:pPr>
        <w:spacing w:line="240" w:lineRule="auto"/>
        <w:jc w:val="both"/>
        <w:rPr>
          <w:rFonts w:ascii="Times New Roman" w:hAnsi="Times New Roman" w:cs="Times New Roman"/>
        </w:rPr>
      </w:pPr>
    </w:p>
    <w:p w:rsidR="00D52CED" w:rsidRDefault="00D52CED" w:rsidP="00FF236B">
      <w:pPr>
        <w:spacing w:line="240" w:lineRule="auto"/>
        <w:jc w:val="both"/>
        <w:rPr>
          <w:rFonts w:ascii="Times New Roman" w:hAnsi="Times New Roman" w:cs="Times New Roman"/>
        </w:rPr>
      </w:pPr>
    </w:p>
    <w:p w:rsidR="00D52CED" w:rsidRDefault="00D52CED" w:rsidP="00FF236B">
      <w:pPr>
        <w:spacing w:line="240" w:lineRule="auto"/>
        <w:jc w:val="both"/>
        <w:rPr>
          <w:rFonts w:ascii="Times New Roman" w:hAnsi="Times New Roman" w:cs="Times New Roman"/>
        </w:rPr>
      </w:pPr>
    </w:p>
    <w:p w:rsidR="00D52CED" w:rsidRDefault="00D52CED" w:rsidP="00FF236B">
      <w:pPr>
        <w:spacing w:line="240" w:lineRule="auto"/>
        <w:jc w:val="both"/>
        <w:rPr>
          <w:rFonts w:ascii="Times New Roman" w:hAnsi="Times New Roman" w:cs="Times New Roman"/>
        </w:rPr>
      </w:pPr>
    </w:p>
    <w:p w:rsidR="00D52CED" w:rsidRDefault="00D52CED" w:rsidP="00FF236B">
      <w:pPr>
        <w:spacing w:line="240" w:lineRule="auto"/>
        <w:jc w:val="both"/>
        <w:rPr>
          <w:rFonts w:ascii="Times New Roman" w:hAnsi="Times New Roman" w:cs="Times New Roman"/>
        </w:rPr>
      </w:pPr>
    </w:p>
    <w:p w:rsidR="00D52CED" w:rsidRDefault="00D52CED" w:rsidP="00FF236B">
      <w:pPr>
        <w:spacing w:line="240" w:lineRule="auto"/>
        <w:jc w:val="both"/>
        <w:rPr>
          <w:rFonts w:ascii="Times New Roman" w:hAnsi="Times New Roman" w:cs="Times New Roman"/>
        </w:rPr>
      </w:pPr>
    </w:p>
    <w:p w:rsidR="00D52CED" w:rsidRDefault="00D52CED" w:rsidP="00FF236B">
      <w:pPr>
        <w:spacing w:line="240" w:lineRule="auto"/>
        <w:jc w:val="both"/>
        <w:rPr>
          <w:rFonts w:ascii="Times New Roman" w:hAnsi="Times New Roman" w:cs="Times New Roman"/>
        </w:rPr>
      </w:pPr>
    </w:p>
    <w:p w:rsidR="00391FCC" w:rsidRDefault="00391FCC" w:rsidP="00FF236B">
      <w:pPr>
        <w:spacing w:line="240" w:lineRule="auto"/>
        <w:jc w:val="both"/>
        <w:rPr>
          <w:rFonts w:ascii="Times New Roman" w:hAnsi="Times New Roman" w:cs="Times New Roman"/>
        </w:rPr>
      </w:pPr>
    </w:p>
    <w:p w:rsidR="00391FCC" w:rsidRPr="00D52CED" w:rsidRDefault="00391FCC" w:rsidP="00FF236B">
      <w:pPr>
        <w:spacing w:line="240" w:lineRule="auto"/>
        <w:jc w:val="both"/>
        <w:rPr>
          <w:rFonts w:ascii="Times New Roman" w:hAnsi="Times New Roman" w:cs="Times New Roman"/>
          <w:b/>
        </w:rPr>
      </w:pPr>
    </w:p>
    <w:p w:rsidR="00391FCC" w:rsidRDefault="00391FCC" w:rsidP="00FF236B">
      <w:pPr>
        <w:spacing w:line="240" w:lineRule="auto"/>
        <w:jc w:val="both"/>
        <w:rPr>
          <w:rFonts w:ascii="Times New Roman" w:hAnsi="Times New Roman" w:cs="Times New Roman"/>
        </w:rPr>
      </w:pPr>
      <w:r w:rsidRPr="008B32A8">
        <w:rPr>
          <w:rFonts w:ascii="Times New Roman" w:hAnsi="Times New Roman" w:cs="Times New Roman"/>
        </w:rPr>
        <w:t>Out</w:t>
      </w:r>
      <w:r>
        <w:rPr>
          <w:rFonts w:ascii="Times New Roman" w:hAnsi="Times New Roman" w:cs="Times New Roman"/>
        </w:rPr>
        <w:t xml:space="preserve">put for running times of Single Pivot Quick Sort vs Dual Pivot Quick Sort (in milliseconds) for an array consisting of </w:t>
      </w:r>
      <w:r>
        <w:rPr>
          <w:rFonts w:ascii="Times New Roman" w:hAnsi="Times New Roman" w:cs="Times New Roman"/>
        </w:rPr>
        <w:t>all identical eleme</w:t>
      </w:r>
      <w:r w:rsidR="00582B3F">
        <w:rPr>
          <w:rFonts w:ascii="Times New Roman" w:hAnsi="Times New Roman" w:cs="Times New Roman"/>
        </w:rPr>
        <w:t>n</w:t>
      </w:r>
      <w:r>
        <w:rPr>
          <w:rFonts w:ascii="Times New Roman" w:hAnsi="Times New Roman" w:cs="Times New Roman"/>
        </w:rPr>
        <w:t>ts</w:t>
      </w:r>
      <w:r>
        <w:rPr>
          <w:rFonts w:ascii="Times New Roman" w:hAnsi="Times New Roman" w:cs="Times New Roman"/>
        </w:rPr>
        <w:t xml:space="preserve">, and is of given length: </w:t>
      </w:r>
    </w:p>
    <w:tbl>
      <w:tblPr>
        <w:tblStyle w:val="TableGrid"/>
        <w:tblpPr w:leftFromText="180" w:rightFromText="180" w:vertAnchor="page" w:horzAnchor="margin" w:tblpY="7585"/>
        <w:tblW w:w="4988" w:type="dxa"/>
        <w:tblLook w:val="04A0" w:firstRow="1" w:lastRow="0" w:firstColumn="1" w:lastColumn="0" w:noHBand="0" w:noVBand="1"/>
      </w:tblPr>
      <w:tblGrid>
        <w:gridCol w:w="1662"/>
        <w:gridCol w:w="1663"/>
        <w:gridCol w:w="1663"/>
      </w:tblGrid>
      <w:tr w:rsidR="00582B3F" w:rsidRPr="008B32A8" w:rsidTr="00FF236B">
        <w:trPr>
          <w:trHeight w:val="104"/>
        </w:trPr>
        <w:tc>
          <w:tcPr>
            <w:tcW w:w="1662"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No. of Elements</w:t>
            </w:r>
          </w:p>
        </w:tc>
        <w:tc>
          <w:tcPr>
            <w:tcW w:w="1663"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Single Pivot Quick</w:t>
            </w:r>
            <w:r>
              <w:rPr>
                <w:rFonts w:ascii="Times New Roman" w:hAnsi="Times New Roman" w:cs="Times New Roman"/>
              </w:rPr>
              <w:t xml:space="preserve"> </w:t>
            </w:r>
            <w:r w:rsidRPr="008B32A8">
              <w:rPr>
                <w:rFonts w:ascii="Times New Roman" w:hAnsi="Times New Roman" w:cs="Times New Roman"/>
              </w:rPr>
              <w:t>Sort (</w:t>
            </w:r>
            <w:proofErr w:type="spellStart"/>
            <w:r w:rsidRPr="008B32A8">
              <w:rPr>
                <w:rFonts w:ascii="Times New Roman" w:hAnsi="Times New Roman" w:cs="Times New Roman"/>
              </w:rPr>
              <w:t>ms</w:t>
            </w:r>
            <w:proofErr w:type="spellEnd"/>
            <w:r w:rsidRPr="008B32A8">
              <w:rPr>
                <w:rFonts w:ascii="Times New Roman" w:hAnsi="Times New Roman" w:cs="Times New Roman"/>
              </w:rPr>
              <w:t>)</w:t>
            </w:r>
          </w:p>
        </w:tc>
        <w:tc>
          <w:tcPr>
            <w:tcW w:w="1663"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Dual Pivot Quick</w:t>
            </w:r>
            <w:r>
              <w:rPr>
                <w:rFonts w:ascii="Times New Roman" w:hAnsi="Times New Roman" w:cs="Times New Roman"/>
              </w:rPr>
              <w:t xml:space="preserve"> </w:t>
            </w:r>
            <w:r w:rsidRPr="008B32A8">
              <w:rPr>
                <w:rFonts w:ascii="Times New Roman" w:hAnsi="Times New Roman" w:cs="Times New Roman"/>
              </w:rPr>
              <w:t>Sort (</w:t>
            </w:r>
            <w:proofErr w:type="spellStart"/>
            <w:r w:rsidRPr="008B32A8">
              <w:rPr>
                <w:rFonts w:ascii="Times New Roman" w:hAnsi="Times New Roman" w:cs="Times New Roman"/>
              </w:rPr>
              <w:t>ms</w:t>
            </w:r>
            <w:proofErr w:type="spellEnd"/>
            <w:r w:rsidRPr="008B32A8">
              <w:rPr>
                <w:rFonts w:ascii="Times New Roman" w:hAnsi="Times New Roman" w:cs="Times New Roman"/>
              </w:rPr>
              <w:t>)</w:t>
            </w:r>
          </w:p>
        </w:tc>
      </w:tr>
      <w:tr w:rsidR="00582B3F" w:rsidRPr="008B32A8" w:rsidTr="00FF236B">
        <w:trPr>
          <w:trHeight w:val="426"/>
        </w:trPr>
        <w:tc>
          <w:tcPr>
            <w:tcW w:w="1662"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10,000</w:t>
            </w:r>
          </w:p>
        </w:tc>
        <w:tc>
          <w:tcPr>
            <w:tcW w:w="1663" w:type="dxa"/>
            <w:vAlign w:val="center"/>
          </w:tcPr>
          <w:p w:rsidR="00582B3F" w:rsidRPr="008B32A8" w:rsidRDefault="00582B3F" w:rsidP="00FF236B">
            <w:pPr>
              <w:jc w:val="center"/>
              <w:rPr>
                <w:rFonts w:ascii="Times New Roman" w:hAnsi="Times New Roman" w:cs="Times New Roman"/>
              </w:rPr>
            </w:pPr>
            <w:r>
              <w:rPr>
                <w:rFonts w:ascii="Times New Roman" w:hAnsi="Times New Roman" w:cs="Times New Roman"/>
              </w:rPr>
              <w:t>143</w:t>
            </w:r>
          </w:p>
        </w:tc>
        <w:tc>
          <w:tcPr>
            <w:tcW w:w="1663" w:type="dxa"/>
            <w:vAlign w:val="center"/>
          </w:tcPr>
          <w:p w:rsidR="00582B3F" w:rsidRPr="008B32A8" w:rsidRDefault="00582B3F" w:rsidP="00FF236B">
            <w:pPr>
              <w:jc w:val="center"/>
              <w:rPr>
                <w:rFonts w:ascii="Times New Roman" w:hAnsi="Times New Roman" w:cs="Times New Roman"/>
              </w:rPr>
            </w:pPr>
            <w:r>
              <w:rPr>
                <w:rFonts w:ascii="Times New Roman" w:hAnsi="Times New Roman" w:cs="Times New Roman"/>
              </w:rPr>
              <w:t>0</w:t>
            </w:r>
          </w:p>
        </w:tc>
      </w:tr>
      <w:tr w:rsidR="00582B3F" w:rsidRPr="008B32A8" w:rsidTr="00FF236B">
        <w:trPr>
          <w:trHeight w:val="426"/>
        </w:trPr>
        <w:tc>
          <w:tcPr>
            <w:tcW w:w="1662"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100,000</w:t>
            </w:r>
          </w:p>
        </w:tc>
        <w:tc>
          <w:tcPr>
            <w:tcW w:w="1663" w:type="dxa"/>
            <w:vAlign w:val="center"/>
          </w:tcPr>
          <w:p w:rsidR="00582B3F" w:rsidRPr="008B32A8" w:rsidRDefault="00582B3F" w:rsidP="00FF236B">
            <w:pPr>
              <w:jc w:val="center"/>
              <w:rPr>
                <w:rFonts w:ascii="Times New Roman" w:hAnsi="Times New Roman" w:cs="Times New Roman"/>
              </w:rPr>
            </w:pPr>
            <w:r>
              <w:rPr>
                <w:rFonts w:ascii="Times New Roman" w:hAnsi="Times New Roman" w:cs="Times New Roman"/>
              </w:rPr>
              <w:t>287</w:t>
            </w:r>
          </w:p>
        </w:tc>
        <w:tc>
          <w:tcPr>
            <w:tcW w:w="1663" w:type="dxa"/>
            <w:vAlign w:val="center"/>
          </w:tcPr>
          <w:p w:rsidR="00582B3F" w:rsidRPr="008B32A8" w:rsidRDefault="00582B3F" w:rsidP="00FF236B">
            <w:pPr>
              <w:jc w:val="center"/>
              <w:rPr>
                <w:rFonts w:ascii="Times New Roman" w:hAnsi="Times New Roman" w:cs="Times New Roman"/>
              </w:rPr>
            </w:pPr>
            <w:r>
              <w:rPr>
                <w:rFonts w:ascii="Times New Roman" w:hAnsi="Times New Roman" w:cs="Times New Roman"/>
              </w:rPr>
              <w:t>0</w:t>
            </w:r>
          </w:p>
        </w:tc>
      </w:tr>
      <w:tr w:rsidR="00582B3F" w:rsidRPr="008B32A8" w:rsidTr="00FF236B">
        <w:trPr>
          <w:trHeight w:val="426"/>
        </w:trPr>
        <w:tc>
          <w:tcPr>
            <w:tcW w:w="1662"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1,000,000</w:t>
            </w:r>
          </w:p>
        </w:tc>
        <w:tc>
          <w:tcPr>
            <w:tcW w:w="1663"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486</w:t>
            </w:r>
          </w:p>
        </w:tc>
        <w:tc>
          <w:tcPr>
            <w:tcW w:w="1663" w:type="dxa"/>
            <w:vAlign w:val="center"/>
          </w:tcPr>
          <w:p w:rsidR="00582B3F" w:rsidRPr="008B32A8" w:rsidRDefault="00582B3F" w:rsidP="00FF236B">
            <w:pPr>
              <w:jc w:val="center"/>
              <w:rPr>
                <w:rFonts w:ascii="Times New Roman" w:hAnsi="Times New Roman" w:cs="Times New Roman"/>
              </w:rPr>
            </w:pPr>
            <w:r>
              <w:rPr>
                <w:rFonts w:ascii="Times New Roman" w:hAnsi="Times New Roman" w:cs="Times New Roman"/>
              </w:rPr>
              <w:t>15</w:t>
            </w:r>
          </w:p>
        </w:tc>
      </w:tr>
      <w:tr w:rsidR="00582B3F" w:rsidRPr="008B32A8" w:rsidTr="00FF236B">
        <w:trPr>
          <w:trHeight w:val="426"/>
        </w:trPr>
        <w:tc>
          <w:tcPr>
            <w:tcW w:w="1662" w:type="dxa"/>
            <w:vAlign w:val="center"/>
          </w:tcPr>
          <w:p w:rsidR="00582B3F" w:rsidRPr="008B32A8" w:rsidRDefault="00582B3F" w:rsidP="00FF236B">
            <w:pPr>
              <w:jc w:val="center"/>
              <w:rPr>
                <w:rFonts w:ascii="Times New Roman" w:hAnsi="Times New Roman" w:cs="Times New Roman"/>
              </w:rPr>
            </w:pPr>
            <w:r w:rsidRPr="008B32A8">
              <w:rPr>
                <w:rFonts w:ascii="Times New Roman" w:hAnsi="Times New Roman" w:cs="Times New Roman"/>
              </w:rPr>
              <w:t>10,000,000</w:t>
            </w:r>
          </w:p>
        </w:tc>
        <w:tc>
          <w:tcPr>
            <w:tcW w:w="1663" w:type="dxa"/>
            <w:vAlign w:val="center"/>
          </w:tcPr>
          <w:p w:rsidR="00582B3F" w:rsidRPr="008B32A8" w:rsidRDefault="00582B3F" w:rsidP="00FF236B">
            <w:pPr>
              <w:jc w:val="center"/>
              <w:rPr>
                <w:rFonts w:ascii="Times New Roman" w:hAnsi="Times New Roman" w:cs="Times New Roman"/>
              </w:rPr>
            </w:pPr>
            <w:r>
              <w:rPr>
                <w:rFonts w:ascii="Times New Roman" w:hAnsi="Times New Roman" w:cs="Times New Roman"/>
              </w:rPr>
              <w:t>-</w:t>
            </w:r>
          </w:p>
        </w:tc>
        <w:tc>
          <w:tcPr>
            <w:tcW w:w="1663" w:type="dxa"/>
            <w:vAlign w:val="center"/>
          </w:tcPr>
          <w:p w:rsidR="00582B3F" w:rsidRPr="008B32A8" w:rsidRDefault="00582B3F" w:rsidP="00FF236B">
            <w:pPr>
              <w:jc w:val="center"/>
              <w:rPr>
                <w:rFonts w:ascii="Times New Roman" w:hAnsi="Times New Roman" w:cs="Times New Roman"/>
              </w:rPr>
            </w:pPr>
            <w:r>
              <w:rPr>
                <w:rFonts w:ascii="Times New Roman" w:hAnsi="Times New Roman" w:cs="Times New Roman"/>
              </w:rPr>
              <w:t>30</w:t>
            </w:r>
          </w:p>
        </w:tc>
      </w:tr>
    </w:tbl>
    <w:p w:rsidR="00D52CED" w:rsidRDefault="00D52CED" w:rsidP="00FF236B">
      <w:pPr>
        <w:spacing w:line="240" w:lineRule="auto"/>
        <w:jc w:val="both"/>
        <w:rPr>
          <w:rFonts w:ascii="Times New Roman" w:hAnsi="Times New Roman" w:cs="Times New Roman"/>
        </w:rPr>
      </w:pPr>
    </w:p>
    <w:p w:rsidR="00D52CED" w:rsidRDefault="00D52CED" w:rsidP="00FF236B">
      <w:pPr>
        <w:spacing w:line="240" w:lineRule="auto"/>
        <w:jc w:val="both"/>
        <w:rPr>
          <w:rFonts w:ascii="Times New Roman" w:hAnsi="Times New Roman" w:cs="Times New Roman"/>
        </w:rPr>
      </w:pPr>
    </w:p>
    <w:p w:rsidR="00B607C5" w:rsidRDefault="00B607C5" w:rsidP="00FF236B">
      <w:pPr>
        <w:spacing w:line="240" w:lineRule="auto"/>
        <w:jc w:val="both"/>
        <w:rPr>
          <w:rFonts w:ascii="Times New Roman" w:hAnsi="Times New Roman" w:cs="Times New Roman"/>
        </w:rPr>
      </w:pPr>
      <w:bookmarkStart w:id="0" w:name="_GoBack"/>
      <w:bookmarkEnd w:id="0"/>
    </w:p>
    <w:p w:rsidR="00B607C5" w:rsidRDefault="00B607C5" w:rsidP="00FF236B">
      <w:pPr>
        <w:spacing w:line="240" w:lineRule="auto"/>
        <w:jc w:val="both"/>
        <w:rPr>
          <w:rFonts w:ascii="Times New Roman" w:hAnsi="Times New Roman" w:cs="Times New Roman"/>
        </w:rPr>
      </w:pPr>
    </w:p>
    <w:p w:rsidR="00B607C5" w:rsidRDefault="00B607C5" w:rsidP="00FF236B">
      <w:pPr>
        <w:spacing w:line="240" w:lineRule="auto"/>
        <w:jc w:val="both"/>
        <w:rPr>
          <w:rFonts w:ascii="Times New Roman" w:hAnsi="Times New Roman" w:cs="Times New Roman"/>
        </w:rPr>
      </w:pPr>
    </w:p>
    <w:p w:rsidR="00B607C5" w:rsidRDefault="00B607C5" w:rsidP="00FF236B">
      <w:pPr>
        <w:spacing w:line="240" w:lineRule="auto"/>
        <w:jc w:val="both"/>
        <w:rPr>
          <w:rFonts w:ascii="Times New Roman" w:hAnsi="Times New Roman" w:cs="Times New Roman"/>
        </w:rPr>
      </w:pPr>
    </w:p>
    <w:p w:rsidR="00B607C5" w:rsidRDefault="00B607C5" w:rsidP="00FF236B">
      <w:pPr>
        <w:spacing w:line="240" w:lineRule="auto"/>
        <w:jc w:val="both"/>
        <w:rPr>
          <w:rFonts w:ascii="Times New Roman" w:hAnsi="Times New Roman" w:cs="Times New Roman"/>
        </w:rPr>
      </w:pPr>
    </w:p>
    <w:p w:rsidR="00B607C5" w:rsidRDefault="00B607C5" w:rsidP="00FF236B">
      <w:pPr>
        <w:spacing w:line="240" w:lineRule="auto"/>
        <w:jc w:val="both"/>
        <w:rPr>
          <w:rFonts w:ascii="Times New Roman" w:hAnsi="Times New Roman" w:cs="Times New Roman"/>
        </w:rPr>
      </w:pPr>
    </w:p>
    <w:p w:rsidR="00B607C5" w:rsidRDefault="00B607C5" w:rsidP="00FF236B">
      <w:pPr>
        <w:spacing w:line="240" w:lineRule="auto"/>
        <w:jc w:val="both"/>
        <w:rPr>
          <w:rFonts w:ascii="Times New Roman" w:hAnsi="Times New Roman" w:cs="Times New Roman"/>
        </w:rPr>
      </w:pPr>
      <w:r>
        <w:rPr>
          <w:rFonts w:ascii="Times New Roman" w:hAnsi="Times New Roman" w:cs="Times New Roman"/>
        </w:rPr>
        <w:t xml:space="preserve">As we can see, for smaller size of inputs (say below 10,000), performance of Single and Dual pivot quick sort is similar. As the number of elements increases, the performance of Single pivot quicksort degrades much quicker. </w:t>
      </w:r>
    </w:p>
    <w:p w:rsidR="00B607C5" w:rsidRPr="008B32A8" w:rsidRDefault="00B607C5" w:rsidP="00FF236B">
      <w:pPr>
        <w:spacing w:line="240" w:lineRule="auto"/>
        <w:jc w:val="both"/>
        <w:rPr>
          <w:rFonts w:ascii="Times New Roman" w:hAnsi="Times New Roman" w:cs="Times New Roman"/>
        </w:rPr>
      </w:pPr>
      <w:r>
        <w:rPr>
          <w:rFonts w:ascii="Times New Roman" w:hAnsi="Times New Roman" w:cs="Times New Roman"/>
        </w:rPr>
        <w:t>In the case of an array consi</w:t>
      </w:r>
      <w:r w:rsidR="005838C2">
        <w:rPr>
          <w:rFonts w:ascii="Times New Roman" w:hAnsi="Times New Roman" w:cs="Times New Roman"/>
        </w:rPr>
        <w:t>sting of all identical elements, the performance of Dual pivot quicksort ends up being even better than an array consisting of dissimilar elements. This however is not the case for Single pivot quicksort. The running time increases drastically in an array of identical elements and also as the size of the array increases.</w:t>
      </w:r>
    </w:p>
    <w:sectPr w:rsidR="00B607C5" w:rsidRPr="008B32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346" w:rsidRDefault="00BE2346" w:rsidP="008B32A8">
      <w:pPr>
        <w:spacing w:after="0" w:line="240" w:lineRule="auto"/>
      </w:pPr>
      <w:r>
        <w:separator/>
      </w:r>
    </w:p>
  </w:endnote>
  <w:endnote w:type="continuationSeparator" w:id="0">
    <w:p w:rsidR="00BE2346" w:rsidRDefault="00BE2346" w:rsidP="008B3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346" w:rsidRDefault="00BE2346" w:rsidP="008B32A8">
      <w:pPr>
        <w:spacing w:after="0" w:line="240" w:lineRule="auto"/>
      </w:pPr>
      <w:r>
        <w:separator/>
      </w:r>
    </w:p>
  </w:footnote>
  <w:footnote w:type="continuationSeparator" w:id="0">
    <w:p w:rsidR="00BE2346" w:rsidRDefault="00BE2346" w:rsidP="008B32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B8"/>
    <w:rsid w:val="00016BBF"/>
    <w:rsid w:val="000528A2"/>
    <w:rsid w:val="000A62BE"/>
    <w:rsid w:val="001256AE"/>
    <w:rsid w:val="002D5E93"/>
    <w:rsid w:val="003146E1"/>
    <w:rsid w:val="0035771A"/>
    <w:rsid w:val="00391FCC"/>
    <w:rsid w:val="003C4CCF"/>
    <w:rsid w:val="003D5F0A"/>
    <w:rsid w:val="004D6502"/>
    <w:rsid w:val="004F4520"/>
    <w:rsid w:val="00582B3F"/>
    <w:rsid w:val="005838C2"/>
    <w:rsid w:val="00644E9F"/>
    <w:rsid w:val="00671341"/>
    <w:rsid w:val="006D4767"/>
    <w:rsid w:val="006D5C16"/>
    <w:rsid w:val="00730190"/>
    <w:rsid w:val="008B32A8"/>
    <w:rsid w:val="008D6D49"/>
    <w:rsid w:val="009B1772"/>
    <w:rsid w:val="00B607C5"/>
    <w:rsid w:val="00B82465"/>
    <w:rsid w:val="00BD2B9B"/>
    <w:rsid w:val="00BE2346"/>
    <w:rsid w:val="00CA6283"/>
    <w:rsid w:val="00D52CED"/>
    <w:rsid w:val="00E612A8"/>
    <w:rsid w:val="00EA1F6B"/>
    <w:rsid w:val="00EC40B8"/>
    <w:rsid w:val="00EF78C2"/>
    <w:rsid w:val="00F2706C"/>
    <w:rsid w:val="00F60DF6"/>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07334-168E-4A71-B300-181169E2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3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2A8"/>
  </w:style>
  <w:style w:type="paragraph" w:styleId="Footer">
    <w:name w:val="footer"/>
    <w:basedOn w:val="Normal"/>
    <w:link w:val="FooterChar"/>
    <w:uiPriority w:val="99"/>
    <w:unhideWhenUsed/>
    <w:rsid w:val="008B3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Jiddigoudar, Aniket</dc:creator>
  <cp:keywords/>
  <dc:description/>
  <cp:lastModifiedBy>Jiddigoudar, Aniket</cp:lastModifiedBy>
  <cp:revision>52</cp:revision>
  <dcterms:created xsi:type="dcterms:W3CDTF">2016-02-25T00:30:00Z</dcterms:created>
  <dcterms:modified xsi:type="dcterms:W3CDTF">2016-02-25T01:04:00Z</dcterms:modified>
</cp:coreProperties>
</file>