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6064" w14:textId="77777777" w:rsidR="00CC032C" w:rsidRDefault="00000000">
      <w:pPr>
        <w:spacing w:after="80"/>
      </w:pPr>
      <w:r>
        <w:rPr>
          <w:b/>
          <w:bCs/>
          <w:color w:val="1F6F65"/>
          <w:sz w:val="36"/>
          <w:szCs w:val="36"/>
        </w:rPr>
        <w:t>Methodology &amp; Assumptions</w:t>
      </w:r>
    </w:p>
    <w:p w14:paraId="6D59D6E9" w14:textId="77777777" w:rsidR="00CC032C" w:rsidRDefault="00000000">
      <w:pPr>
        <w:spacing w:after="240"/>
      </w:pPr>
      <w:r>
        <w:rPr>
          <w:i/>
          <w:iCs/>
          <w:color w:val="595959"/>
          <w:sz w:val="24"/>
          <w:szCs w:val="24"/>
        </w:rPr>
        <w:t>Inventory Management &amp; Cross-Border Supply Chain Analysis</w:t>
      </w:r>
    </w:p>
    <w:p w14:paraId="2A9688C7" w14:textId="77777777" w:rsidR="00CC032C" w:rsidRDefault="00000000">
      <w:pPr>
        <w:pStyle w:val="Heading1"/>
      </w:pPr>
      <w:r>
        <w:t>1. Purpose of this Document</w:t>
      </w:r>
    </w:p>
    <w:p w14:paraId="6C0A15EE" w14:textId="691D83B5" w:rsidR="00CC032C" w:rsidRDefault="00000000">
      <w:pPr>
        <w:spacing w:after="120"/>
      </w:pPr>
      <w:r>
        <w:t xml:space="preserve">This document explains how each key metric in the Inventory Management &amp; Cross-Border Supply Chain Analysis dashboard was calculated, the reasoning behind the chosen analysis grain, the assumptions applied where the dataset did not provide a value directly, and the data limitations discovered </w:t>
      </w:r>
      <w:r w:rsidR="009C3581">
        <w:t>during</w:t>
      </w:r>
      <w:r>
        <w:t xml:space="preserve"> the analysis. It is intended to be read alongside the Problem Statement and the Power BI dashboard, providing transparency into how each number on the report was derived.</w:t>
      </w:r>
    </w:p>
    <w:p w14:paraId="59F82AEB" w14:textId="77777777" w:rsidR="00CC032C" w:rsidRDefault="00000000">
      <w:pPr>
        <w:pStyle w:val="Heading1"/>
      </w:pPr>
      <w:r>
        <w:t>2. Analysis Granularity</w:t>
      </w:r>
    </w:p>
    <w:p w14:paraId="20936319" w14:textId="77777777" w:rsidR="00CC032C" w:rsidRDefault="00000000">
      <w:pPr>
        <w:spacing w:after="120"/>
      </w:pPr>
      <w:r>
        <w:t>The dataset contains 25,000 records spanning 8,446 unique products across 730 days (January 2023 - December 2024). On average, each individual product appears only 2-3 times across the entire two-year period, with approximately 34 products recorded per day across all four warehouses combined. This means the dataset represents a rotating operational sample rather than a complete daily inventory record for every product.</w:t>
      </w:r>
    </w:p>
    <w:p w14:paraId="514D74DF" w14:textId="77777777" w:rsidR="00CC032C" w:rsidRDefault="00000000">
      <w:pPr>
        <w:spacing w:after="120"/>
      </w:pPr>
      <w:r>
        <w:t xml:space="preserve">In addition, </w:t>
      </w:r>
      <w:proofErr w:type="spellStart"/>
      <w:r>
        <w:t>Warehouse_Capacity</w:t>
      </w:r>
      <w:proofErr w:type="spellEnd"/>
      <w:r>
        <w:t xml:space="preserve"> was found to vary at the individual row level — even for the same warehouse on the same date, different products in the dataset show different </w:t>
      </w:r>
      <w:proofErr w:type="spellStart"/>
      <w:r>
        <w:t>Warehouse_Capacity</w:t>
      </w:r>
      <w:proofErr w:type="spellEnd"/>
      <w:r>
        <w:t xml:space="preserve"> values. This indicates </w:t>
      </w:r>
      <w:proofErr w:type="spellStart"/>
      <w:r>
        <w:t>Warehouse_Capacity</w:t>
      </w:r>
      <w:proofErr w:type="spellEnd"/>
      <w:r>
        <w:t xml:space="preserve"> reflects an allocated capacity figure at the product-snapshot level, rather than a single fixed total capacity per warehouse.</w:t>
      </w:r>
    </w:p>
    <w:p w14:paraId="23897118" w14:textId="77777777" w:rsidR="00CC032C" w:rsidRDefault="00000000">
      <w:pPr>
        <w:spacing w:after="120"/>
      </w:pPr>
      <w:r>
        <w:t xml:space="preserve">Because of this sparsity at the individual </w:t>
      </w:r>
      <w:proofErr w:type="spellStart"/>
      <w:r>
        <w:t>Product_ID</w:t>
      </w:r>
      <w:proofErr w:type="spellEnd"/>
      <w:r>
        <w:t xml:space="preserve"> and Brand level, and the row-level variability in </w:t>
      </w:r>
      <w:proofErr w:type="spellStart"/>
      <w:r>
        <w:t>Warehouse_Capacity</w:t>
      </w:r>
      <w:proofErr w:type="spellEnd"/>
      <w:r>
        <w:t xml:space="preserve">, analysis throughout this report is conducted at the </w:t>
      </w:r>
      <w:proofErr w:type="spellStart"/>
      <w:r>
        <w:t>Product_Category</w:t>
      </w:r>
      <w:proofErr w:type="spellEnd"/>
      <w:r>
        <w:t xml:space="preserve"> level (Electronics, Fashion, Beauty, Sports, Home) rather than at </w:t>
      </w:r>
      <w:proofErr w:type="spellStart"/>
      <w:r>
        <w:t>Product_ID</w:t>
      </w:r>
      <w:proofErr w:type="spellEnd"/>
      <w:r>
        <w:t xml:space="preserve"> or Brand level. Each </w:t>
      </w:r>
      <w:proofErr w:type="spellStart"/>
      <w:r>
        <w:t>Product_Category</w:t>
      </w:r>
      <w:proofErr w:type="spellEnd"/>
      <w:r>
        <w:t xml:space="preserve"> contains approximately 5,000 records spread evenly across all 24 months, providing a statistically stable base for calculating and comparing KPIs across categories, warehouses, regions, and time periods.</w:t>
      </w:r>
    </w:p>
    <w:p w14:paraId="6AC476A4" w14:textId="77777777" w:rsidR="00CC032C" w:rsidRDefault="00000000">
      <w:pPr>
        <w:pStyle w:val="Heading1"/>
      </w:pPr>
      <w:r>
        <w:t>3. Key Assumptions</w:t>
      </w:r>
    </w:p>
    <w:p w14:paraId="0E085204" w14:textId="77777777" w:rsidR="00CC032C" w:rsidRDefault="00000000">
      <w:pPr>
        <w:spacing w:after="120"/>
      </w:pPr>
      <w:r>
        <w:t>This section consolidates the assumptions applied throughout the analysis where the dataset did not provide a value directly.</w:t>
      </w:r>
    </w:p>
    <w:p w14:paraId="703F0E3C" w14:textId="77777777" w:rsidR="00CC032C" w:rsidRDefault="00000000">
      <w:pPr>
        <w:pStyle w:val="Heading2"/>
      </w:pPr>
      <w:r>
        <w:t xml:space="preserve">3.1 </w:t>
      </w:r>
      <w:proofErr w:type="spellStart"/>
      <w:r>
        <w:t>Historical_Sales</w:t>
      </w:r>
      <w:proofErr w:type="spellEnd"/>
      <w:r>
        <w:t xml:space="preserve"> Interpretation</w:t>
      </w:r>
    </w:p>
    <w:p w14:paraId="3E120923" w14:textId="77777777" w:rsidR="00CC032C" w:rsidRDefault="00000000">
      <w:pPr>
        <w:spacing w:after="120"/>
      </w:pPr>
      <w:proofErr w:type="spellStart"/>
      <w:r>
        <w:t>Historical_Sales</w:t>
      </w:r>
      <w:proofErr w:type="spellEnd"/>
      <w:r>
        <w:t xml:space="preserve"> is treated as the actual number of units sold for a specific product, in a specific warehouse, on that specific date — i.e., that row's real daily sales figure. This assumption underpins the Revenue, COGS, and Stock to Sales Ratio calculations throughout the report.</w:t>
      </w:r>
    </w:p>
    <w:p w14:paraId="54F54893" w14:textId="77777777" w:rsidR="00CC032C" w:rsidRDefault="00000000">
      <w:pPr>
        <w:pStyle w:val="Heading2"/>
      </w:pPr>
      <w:r>
        <w:t>3.2 Revenue Calculation</w:t>
      </w:r>
    </w:p>
    <w:p w14:paraId="60EE0678" w14:textId="77777777" w:rsidR="00CC032C" w:rsidRDefault="00000000">
      <w:pPr>
        <w:shd w:val="clear" w:color="auto" w:fill="F2F2F2"/>
        <w:spacing w:before="80" w:after="80"/>
        <w:ind w:left="360"/>
      </w:pPr>
      <w:r>
        <w:rPr>
          <w:rFonts w:ascii="Consolas" w:eastAsia="Consolas" w:hAnsi="Consolas" w:cs="Consolas"/>
          <w:color w:val="1F6F65"/>
          <w:sz w:val="19"/>
          <w:szCs w:val="19"/>
        </w:rPr>
        <w:t xml:space="preserve">Revenue = </w:t>
      </w:r>
      <w:proofErr w:type="spellStart"/>
      <w:r>
        <w:rPr>
          <w:rFonts w:ascii="Consolas" w:eastAsia="Consolas" w:hAnsi="Consolas" w:cs="Consolas"/>
          <w:color w:val="1F6F65"/>
          <w:sz w:val="19"/>
          <w:szCs w:val="19"/>
        </w:rPr>
        <w:t>Product_Price</w:t>
      </w:r>
      <w:proofErr w:type="spellEnd"/>
      <w:r>
        <w:rPr>
          <w:rFonts w:ascii="Consolas" w:eastAsia="Consolas" w:hAnsi="Consolas" w:cs="Consolas"/>
          <w:color w:val="1F6F65"/>
          <w:sz w:val="19"/>
          <w:szCs w:val="19"/>
        </w:rPr>
        <w:t xml:space="preserve"> x (1 - </w:t>
      </w:r>
      <w:proofErr w:type="spellStart"/>
      <w:r>
        <w:rPr>
          <w:rFonts w:ascii="Consolas" w:eastAsia="Consolas" w:hAnsi="Consolas" w:cs="Consolas"/>
          <w:color w:val="1F6F65"/>
          <w:sz w:val="19"/>
          <w:szCs w:val="19"/>
        </w:rPr>
        <w:t>Discount_Rate</w:t>
      </w:r>
      <w:proofErr w:type="spellEnd"/>
      <w:r>
        <w:rPr>
          <w:rFonts w:ascii="Consolas" w:eastAsia="Consolas" w:hAnsi="Consolas" w:cs="Consolas"/>
          <w:color w:val="1F6F65"/>
          <w:sz w:val="19"/>
          <w:szCs w:val="19"/>
        </w:rPr>
        <w:t xml:space="preserve">) x </w:t>
      </w:r>
      <w:proofErr w:type="spellStart"/>
      <w:r>
        <w:rPr>
          <w:rFonts w:ascii="Consolas" w:eastAsia="Consolas" w:hAnsi="Consolas" w:cs="Consolas"/>
          <w:color w:val="1F6F65"/>
          <w:sz w:val="19"/>
          <w:szCs w:val="19"/>
        </w:rPr>
        <w:t>Historical_Sales</w:t>
      </w:r>
      <w:proofErr w:type="spellEnd"/>
    </w:p>
    <w:p w14:paraId="267B05FB" w14:textId="77777777" w:rsidR="00CC032C" w:rsidRDefault="00000000">
      <w:pPr>
        <w:spacing w:after="120"/>
      </w:pPr>
      <w:r>
        <w:t xml:space="preserve">Revenue is calculated using the actual discounted selling price rather than list price, since the dataset includes a </w:t>
      </w:r>
      <w:proofErr w:type="spellStart"/>
      <w:r>
        <w:t>Discount_Rate</w:t>
      </w:r>
      <w:proofErr w:type="spellEnd"/>
      <w:r>
        <w:t xml:space="preserve"> field that varies by product, region, and date. This ensures Revenue reflects what customers were </w:t>
      </w:r>
      <w:proofErr w:type="gramStart"/>
      <w:r>
        <w:t>actually charged</w:t>
      </w:r>
      <w:proofErr w:type="gramEnd"/>
      <w:r>
        <w:t>, not the undiscounted list price.</w:t>
      </w:r>
    </w:p>
    <w:p w14:paraId="6F9A3104" w14:textId="77777777" w:rsidR="007617FF" w:rsidRDefault="007617FF">
      <w:pPr>
        <w:pStyle w:val="Heading2"/>
      </w:pPr>
    </w:p>
    <w:p w14:paraId="58A14699" w14:textId="388208D9" w:rsidR="00CC032C" w:rsidRDefault="00000000">
      <w:pPr>
        <w:pStyle w:val="Heading2"/>
      </w:pPr>
      <w:r>
        <w:lastRenderedPageBreak/>
        <w:t>3.3 COGS — Assumed Category Gross Margins</w:t>
      </w:r>
    </w:p>
    <w:p w14:paraId="3E1E424F" w14:textId="77777777" w:rsidR="00CC032C" w:rsidRDefault="00000000">
      <w:pPr>
        <w:spacing w:after="120"/>
      </w:pPr>
      <w:r>
        <w:t>The dataset does not provide a direct unit cost or cost price field. COGS is therefore derived from Revenue using assumed gross margin percentages by product category, based on typical industry benchmarks for each category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032C" w14:paraId="760D13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29E2ABAA" w14:textId="77777777" w:rsidR="00CC032C" w:rsidRDefault="00000000">
            <w:r>
              <w:rPr>
                <w:b/>
                <w:bCs/>
                <w:color w:val="FFFFFF"/>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77E05FDD" w14:textId="77777777" w:rsidR="00CC032C" w:rsidRDefault="00000000">
            <w:r>
              <w:rPr>
                <w:b/>
                <w:bCs/>
                <w:color w:val="FFFFFF"/>
              </w:rPr>
              <w:t>Assumed Gross Margin</w:t>
            </w:r>
          </w:p>
        </w:tc>
        <w:tc>
          <w:tcPr>
            <w:tcW w:w="312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75CA8995" w14:textId="77777777" w:rsidR="00CC032C" w:rsidRDefault="00000000">
            <w:r>
              <w:rPr>
                <w:b/>
                <w:bCs/>
                <w:color w:val="FFFFFF"/>
              </w:rPr>
              <w:t>COGS % of Revenue</w:t>
            </w:r>
          </w:p>
        </w:tc>
      </w:tr>
      <w:tr w:rsidR="00CC032C" w14:paraId="72A97C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ADF8" w14:textId="77777777" w:rsidR="00CC032C" w:rsidRDefault="00000000">
            <w:r>
              <w:t>Electronics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DFA4E" w14:textId="77777777" w:rsidR="00CC032C" w:rsidRDefault="00000000">
            <w:r>
              <w:t>35%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85BE1" w14:textId="77777777" w:rsidR="00CC032C" w:rsidRDefault="00000000">
            <w:r>
              <w:t>65%</w:t>
            </w:r>
          </w:p>
        </w:tc>
      </w:tr>
      <w:tr w:rsidR="00CC032C" w14:paraId="330094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B7DA4" w14:textId="77777777" w:rsidR="00CC032C" w:rsidRDefault="00000000">
            <w:r>
              <w:t>Fashion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EFBF" w14:textId="77777777" w:rsidR="00CC032C" w:rsidRDefault="00000000">
            <w:r>
              <w:t>55%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D2CE8" w14:textId="77777777" w:rsidR="00CC032C" w:rsidRDefault="00000000">
            <w:r>
              <w:t>45%</w:t>
            </w:r>
          </w:p>
        </w:tc>
      </w:tr>
      <w:tr w:rsidR="00CC032C" w14:paraId="6698DF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9521E" w14:textId="77777777" w:rsidR="00CC032C" w:rsidRDefault="00000000">
            <w:r>
              <w:t>Beauty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013FA" w14:textId="77777777" w:rsidR="00CC032C" w:rsidRDefault="00000000">
            <w:r>
              <w:t>65%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B37CF" w14:textId="77777777" w:rsidR="00CC032C" w:rsidRDefault="00000000">
            <w:r>
              <w:t>35%</w:t>
            </w:r>
          </w:p>
        </w:tc>
      </w:tr>
      <w:tr w:rsidR="00CC032C" w14:paraId="1779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ED95A" w14:textId="77777777" w:rsidR="00CC032C" w:rsidRDefault="00000000">
            <w:r>
              <w:t>Sports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4FA4E" w14:textId="77777777" w:rsidR="00CC032C" w:rsidRDefault="00000000">
            <w:r>
              <w:t>45%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36D68" w14:textId="77777777" w:rsidR="00CC032C" w:rsidRDefault="00000000">
            <w:r>
              <w:t>55%</w:t>
            </w:r>
          </w:p>
        </w:tc>
      </w:tr>
      <w:tr w:rsidR="00CC032C" w14:paraId="438F73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4810" w14:textId="77777777" w:rsidR="00CC032C" w:rsidRDefault="00000000">
            <w:r>
              <w:t>Home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83F1E" w14:textId="77777777" w:rsidR="00CC032C" w:rsidRDefault="00000000">
            <w:r>
              <w:t>40%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A294F" w14:textId="77777777" w:rsidR="00CC032C" w:rsidRDefault="00000000">
            <w:r>
              <w:t>60%</w:t>
            </w:r>
          </w:p>
        </w:tc>
      </w:tr>
    </w:tbl>
    <w:p w14:paraId="71413C2A" w14:textId="77777777" w:rsidR="00CC032C" w:rsidRDefault="00000000">
      <w:pPr>
        <w:spacing w:after="120"/>
      </w:pPr>
      <w:r>
        <w:t xml:space="preserve">These margin assumptions reflect general industry norms — Electronics typically carries thinner margins due to high component and manufacturing costs, while Beauty and Fashion typically carry higher margins due to lower unit production cost relative to selling price. </w:t>
      </w:r>
      <w:proofErr w:type="spellStart"/>
      <w:r>
        <w:t>Cost_Price</w:t>
      </w:r>
      <w:proofErr w:type="spellEnd"/>
      <w:r>
        <w:t xml:space="preserve"> (used in Tariff and Landed Cost calculations) is then derived as COGS / </w:t>
      </w:r>
      <w:proofErr w:type="spellStart"/>
      <w:r>
        <w:t>Historical_Sales</w:t>
      </w:r>
      <w:proofErr w:type="spellEnd"/>
      <w:r>
        <w:t xml:space="preserve"> to obtain a per-unit cost figure.</w:t>
      </w:r>
    </w:p>
    <w:p w14:paraId="6EADFC69" w14:textId="77777777" w:rsidR="00CC032C" w:rsidRDefault="00000000">
      <w:pPr>
        <w:pStyle w:val="Heading2"/>
      </w:pPr>
      <w:r>
        <w:t>3.4 Carrying Cost — Assumed Holding Cost Rates</w:t>
      </w:r>
    </w:p>
    <w:p w14:paraId="23B92A61" w14:textId="77777777" w:rsidR="00CC032C" w:rsidRDefault="00000000">
      <w:pPr>
        <w:spacing w:after="120"/>
      </w:pPr>
      <w:r>
        <w:t>The dataset does not provide explicit storage, insurance, or obsolescence cost data. Carrying Cost is therefore approximated using assumed annual holding cost rates by category, reflecting typical industry ranges (generally 20-30% of inventory value annually):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032C" w14:paraId="5DB546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119B83D0" w14:textId="77777777" w:rsidR="00CC032C" w:rsidRDefault="00000000">
            <w:r>
              <w:rPr>
                <w:b/>
                <w:bCs/>
                <w:color w:val="FFFFFF"/>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F6F65"/>
            <w:tcMar>
              <w:top w:w="80" w:type="dxa"/>
              <w:left w:w="120" w:type="dxa"/>
              <w:bottom w:w="80" w:type="dxa"/>
              <w:right w:w="120" w:type="dxa"/>
            </w:tcMar>
          </w:tcPr>
          <w:p w14:paraId="161C7B5C" w14:textId="77777777" w:rsidR="00CC032C" w:rsidRDefault="00000000">
            <w:r>
              <w:rPr>
                <w:b/>
                <w:bCs/>
                <w:color w:val="FFFFFF"/>
              </w:rPr>
              <w:t>Assumed Carrying Cost Rate</w:t>
            </w:r>
          </w:p>
        </w:tc>
      </w:tr>
      <w:tr w:rsidR="00CC032C" w14:paraId="2DEA6E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FFAF7" w14:textId="77777777" w:rsidR="00CC032C" w:rsidRDefault="00000000">
            <w:r>
              <w:t>Electronics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B9831" w14:textId="77777777" w:rsidR="00CC032C" w:rsidRDefault="00000000">
            <w:r>
              <w:t>25%</w:t>
            </w:r>
          </w:p>
        </w:tc>
      </w:tr>
      <w:tr w:rsidR="00CC032C" w14:paraId="630BE7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D229F" w14:textId="77777777" w:rsidR="00CC032C" w:rsidRDefault="00000000">
            <w:r>
              <w:t>Fashion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5FA30" w14:textId="77777777" w:rsidR="00CC032C" w:rsidRDefault="00000000">
            <w:r>
              <w:t>30%</w:t>
            </w:r>
          </w:p>
        </w:tc>
      </w:tr>
      <w:tr w:rsidR="00CC032C" w14:paraId="0D88E2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72C5C" w14:textId="77777777" w:rsidR="00CC032C" w:rsidRDefault="00000000">
            <w:r>
              <w:t>Beauty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D9D51" w14:textId="77777777" w:rsidR="00CC032C" w:rsidRDefault="00000000">
            <w:r>
              <w:t>20%</w:t>
            </w:r>
          </w:p>
        </w:tc>
      </w:tr>
      <w:tr w:rsidR="00CC032C" w14:paraId="550169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14E52" w14:textId="77777777" w:rsidR="00CC032C" w:rsidRDefault="00000000">
            <w:r>
              <w:t>Sports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68AA3" w14:textId="77777777" w:rsidR="00CC032C" w:rsidRDefault="00000000">
            <w:r>
              <w:t>22%</w:t>
            </w:r>
          </w:p>
        </w:tc>
      </w:tr>
      <w:tr w:rsidR="00CC032C" w14:paraId="78CC5A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4CE77" w14:textId="77777777" w:rsidR="00CC032C" w:rsidRDefault="00000000">
            <w:r>
              <w:t>Home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81C7" w14:textId="77777777" w:rsidR="00CC032C" w:rsidRDefault="00000000">
            <w:r>
              <w:t>20%</w:t>
            </w:r>
          </w:p>
        </w:tc>
      </w:tr>
    </w:tbl>
    <w:p w14:paraId="52C81ED1" w14:textId="77777777" w:rsidR="00CC032C" w:rsidRDefault="00000000">
      <w:pPr>
        <w:spacing w:after="120"/>
      </w:pPr>
      <w:r>
        <w:t>Fashion is assigned the highest rate due to higher obsolescence and markdown risk from seasonality; Electronics is assigned a moderately high rate due to technological obsolescence risk; Beauty and Home are assigned lower rates reflecting more stable shelf life and demand patterns.</w:t>
      </w:r>
    </w:p>
    <w:p w14:paraId="62531C1A" w14:textId="77777777" w:rsidR="00CC032C" w:rsidRDefault="00000000">
      <w:pPr>
        <w:pStyle w:val="Heading2"/>
      </w:pPr>
      <w:r>
        <w:t>3.5 Average Inventory Value — Beginning/Ending Month Basis</w:t>
      </w:r>
    </w:p>
    <w:p w14:paraId="296A0C08" w14:textId="77777777" w:rsidR="00CC032C" w:rsidRDefault="00000000">
      <w:pPr>
        <w:spacing w:after="120"/>
      </w:pPr>
      <w:r>
        <w:t>Average Inventory Value is calculated as (Beginning Month Inventory Value + Ending Month Inventory Value) / 2, using the first and last full calendar months of the dataset (January 2023 and December 2024) rather than single dates, since the dataset's rotating sample structure means a single date does not capture enough records to be representative (see Section 2 and Section 4).</w:t>
      </w:r>
    </w:p>
    <w:p w14:paraId="74F97B97" w14:textId="77777777" w:rsidR="007617FF" w:rsidRDefault="007617FF">
      <w:pPr>
        <w:pStyle w:val="Heading2"/>
      </w:pPr>
    </w:p>
    <w:p w14:paraId="645C48AD" w14:textId="09574B89" w:rsidR="00CC032C" w:rsidRDefault="00000000">
      <w:pPr>
        <w:pStyle w:val="Heading2"/>
      </w:pPr>
      <w:r>
        <w:lastRenderedPageBreak/>
        <w:t xml:space="preserve">3.6 Inventory Turnover </w:t>
      </w:r>
      <w:proofErr w:type="spellStart"/>
      <w:r>
        <w:t>Annualisation</w:t>
      </w:r>
      <w:proofErr w:type="spellEnd"/>
    </w:p>
    <w:p w14:paraId="435CF069" w14:textId="77777777" w:rsidR="00CC032C" w:rsidRDefault="00000000">
      <w:pPr>
        <w:spacing w:after="120"/>
      </w:pPr>
      <w:r>
        <w:t>Inventory Turnover Rate is divided by 2 after the core calculation, since the dataset spans a two-year period and COGS is summed across the full 25,000-row dataset. This converts the two-year turnover figure into an annualised rate, consistent with how Inventory Turnover is typically reported and benchmarked in industry.</w:t>
      </w:r>
    </w:p>
    <w:p w14:paraId="5F7FC4A2" w14:textId="77777777" w:rsidR="00CC032C" w:rsidRDefault="00000000">
      <w:pPr>
        <w:pStyle w:val="Heading2"/>
      </w:pPr>
      <w:r>
        <w:t>3.7 Order Cycle Time Proxy</w:t>
      </w:r>
    </w:p>
    <w:p w14:paraId="43A7688C" w14:textId="77777777" w:rsidR="00CC032C" w:rsidRDefault="00000000">
      <w:pPr>
        <w:spacing w:after="120"/>
      </w:pPr>
      <w:r>
        <w:t xml:space="preserve">The dataset does not include separate order placement and delivery timestamps required to calculate true Order Cycle Time. </w:t>
      </w:r>
      <w:proofErr w:type="spellStart"/>
      <w:r>
        <w:t>Lead_Time_Days</w:t>
      </w:r>
      <w:proofErr w:type="spellEnd"/>
      <w:r>
        <w:t xml:space="preserve"> is used as a direct proxy, representing the delivery-side component of order cycle time.</w:t>
      </w:r>
    </w:p>
    <w:p w14:paraId="667E30CA" w14:textId="77777777" w:rsidR="00CC032C" w:rsidRDefault="00000000">
      <w:pPr>
        <w:pStyle w:val="Heading1"/>
      </w:pPr>
      <w:r>
        <w:t>4. Data Limitations &amp; Corrections Discovered During Analysis</w:t>
      </w:r>
    </w:p>
    <w:p w14:paraId="12229AFD" w14:textId="77777777" w:rsidR="00CC032C" w:rsidRDefault="00000000">
      <w:pPr>
        <w:spacing w:after="120"/>
      </w:pPr>
      <w:r>
        <w:t>This section documents data structure issues identified during the analysis, and how each was handled.</w:t>
      </w:r>
    </w:p>
    <w:p w14:paraId="54A09B13" w14:textId="77777777" w:rsidR="00CC032C" w:rsidRDefault="00000000">
      <w:pPr>
        <w:pStyle w:val="Heading2"/>
      </w:pPr>
      <w:r>
        <w:t>4.1 Rotating Sample Structure</w:t>
      </w:r>
    </w:p>
    <w:p w14:paraId="306A0677" w14:textId="77777777" w:rsidR="00CC032C" w:rsidRDefault="00000000">
      <w:pPr>
        <w:spacing w:after="120"/>
      </w:pPr>
      <w:r>
        <w:t>The dataset contains 8,446 unique products but only 25,000 total records across 730 days — each individual product appears only 2-3 times across the full two-year period, with approximately 34 products recorded per day across all four warehouses combined. This means the dataset does not provide a continuous daily record for every product, but rather a rotating operational sample.</w:t>
      </w:r>
    </w:p>
    <w:p w14:paraId="6E86BF8C" w14:textId="77777777" w:rsidR="00CC032C" w:rsidRDefault="00000000">
      <w:pPr>
        <w:spacing w:after="120"/>
      </w:pPr>
      <w:r>
        <w:rPr>
          <w:b/>
          <w:bCs/>
        </w:rPr>
        <w:t xml:space="preserve">Correction applied: </w:t>
      </w:r>
      <w:r>
        <w:t xml:space="preserve">Analysis was conducted at </w:t>
      </w:r>
      <w:proofErr w:type="spellStart"/>
      <w:r>
        <w:t>Product_Category</w:t>
      </w:r>
      <w:proofErr w:type="spellEnd"/>
      <w:r>
        <w:t xml:space="preserve"> level rather than </w:t>
      </w:r>
      <w:proofErr w:type="spellStart"/>
      <w:r>
        <w:t>Product_ID</w:t>
      </w:r>
      <w:proofErr w:type="spellEnd"/>
      <w:r>
        <w:t xml:space="preserve"> or Brand level throughout the report, since each category contains approximately 5,000 records spread evenly across all 24 months — a stable, statistically representative base for KPI calculation and comparison.</w:t>
      </w:r>
    </w:p>
    <w:p w14:paraId="426F402A" w14:textId="77777777" w:rsidR="00CC032C" w:rsidRDefault="00000000">
      <w:pPr>
        <w:pStyle w:val="Heading2"/>
      </w:pPr>
      <w:r>
        <w:t xml:space="preserve">4.2 </w:t>
      </w:r>
      <w:proofErr w:type="spellStart"/>
      <w:r>
        <w:t>Warehouse_Capacity</w:t>
      </w:r>
      <w:proofErr w:type="spellEnd"/>
      <w:r>
        <w:t xml:space="preserve"> Row-Level Variability</w:t>
      </w:r>
    </w:p>
    <w:p w14:paraId="40FD7116" w14:textId="77777777" w:rsidR="00CC032C" w:rsidRDefault="00000000">
      <w:pPr>
        <w:spacing w:after="120"/>
      </w:pPr>
      <w:proofErr w:type="spellStart"/>
      <w:r>
        <w:t>Warehouse_Capacity</w:t>
      </w:r>
      <w:proofErr w:type="spellEnd"/>
      <w:r>
        <w:t xml:space="preserve"> was found to vary at the individual row level, even for the same </w:t>
      </w:r>
      <w:proofErr w:type="spellStart"/>
      <w:r>
        <w:t>Warehouse_ID</w:t>
      </w:r>
      <w:proofErr w:type="spellEnd"/>
      <w:r>
        <w:t xml:space="preserve"> on the same Date — in some cases, the same warehouse on the same day shows more than fifteen different </w:t>
      </w:r>
      <w:proofErr w:type="spellStart"/>
      <w:r>
        <w:t>Warehouse_Capacity</w:t>
      </w:r>
      <w:proofErr w:type="spellEnd"/>
      <w:r>
        <w:t xml:space="preserve"> values across different product records. This contradicts an initial assumption that </w:t>
      </w:r>
      <w:proofErr w:type="spellStart"/>
      <w:r>
        <w:t>Warehouse_Capacity</w:t>
      </w:r>
      <w:proofErr w:type="spellEnd"/>
      <w:r>
        <w:t xml:space="preserve"> represented a single fixed total capacity per warehouse per day.</w:t>
      </w:r>
    </w:p>
    <w:p w14:paraId="55E82D10" w14:textId="77777777" w:rsidR="00CC032C" w:rsidRDefault="00000000">
      <w:pPr>
        <w:spacing w:after="120"/>
      </w:pPr>
      <w:r>
        <w:rPr>
          <w:b/>
          <w:bCs/>
        </w:rPr>
        <w:t xml:space="preserve">Correction applied: </w:t>
      </w:r>
      <w:proofErr w:type="spellStart"/>
      <w:r>
        <w:t>Warehouse_Capacity</w:t>
      </w:r>
      <w:proofErr w:type="spellEnd"/>
      <w:r>
        <w:t xml:space="preserve"> is interpreted as an allocated capacity figure at the product-snapshot level rather than a whole-warehouse ceiling. Warehouse Utilization metrics throughout the report (Warehouse_Utilization%_</w:t>
      </w:r>
      <w:proofErr w:type="spellStart"/>
      <w:r>
        <w:t>per_product</w:t>
      </w:r>
      <w:proofErr w:type="spellEnd"/>
      <w:r>
        <w:t>) are therefore presented and interpreted as average per-product allocated-space usage, not definitive total warehouse fullness. This distinction is noted wherever the metric appears.</w:t>
      </w:r>
    </w:p>
    <w:p w14:paraId="47159102" w14:textId="77777777" w:rsidR="00CC032C" w:rsidRDefault="00000000">
      <w:pPr>
        <w:pStyle w:val="Heading2"/>
      </w:pPr>
      <w:r>
        <w:t>4.3 Beginning/Ending Inventory Representativeness</w:t>
      </w:r>
    </w:p>
    <w:p w14:paraId="2168DD89" w14:textId="77777777" w:rsidR="00CC032C" w:rsidRDefault="00000000">
      <w:pPr>
        <w:spacing w:after="120"/>
      </w:pPr>
      <w:r>
        <w:t>An initial attempt to calculate Average Inventory Value using a single beginning date and single ending date produced an Inventory Turnover Rate of approximately 87, which was identified as unrealistic. Investigation traced this to the rotating sample structure (Section 4.1) — a single date only captures a handful of products, making it unrepresentative of total inventory position.</w:t>
      </w:r>
    </w:p>
    <w:p w14:paraId="4F078226" w14:textId="77777777" w:rsidR="00CC032C" w:rsidRDefault="00000000">
      <w:pPr>
        <w:spacing w:after="120"/>
      </w:pPr>
      <w:r>
        <w:rPr>
          <w:b/>
          <w:bCs/>
        </w:rPr>
        <w:lastRenderedPageBreak/>
        <w:t xml:space="preserve">Correction applied: </w:t>
      </w:r>
      <w:r>
        <w:t>Beginning and Ending Inventory Value were recalculated using the full first and last calendar months of the dataset (January 2023 and December 2024) instead of single dates, producing a representative sample of approximately 1,000+ records for each boundary period. This brought Inventory Turnover Rate into a realistic and industry-comparable range (approximately 1.9 - 3.5 across categories).</w:t>
      </w:r>
    </w:p>
    <w:p w14:paraId="6E18BA2D" w14:textId="77777777" w:rsidR="00CC032C" w:rsidRDefault="00000000">
      <w:pPr>
        <w:pStyle w:val="Heading2"/>
      </w:pPr>
      <w:r>
        <w:t>4.4 Stock to Sales Ratio — Aggregation Consistency</w:t>
      </w:r>
    </w:p>
    <w:p w14:paraId="45AB5066" w14:textId="77777777" w:rsidR="00CC032C" w:rsidRDefault="00000000">
      <w:pPr>
        <w:spacing w:after="120"/>
      </w:pPr>
      <w:r>
        <w:t>An initial version of the Stock to Sales Ratio formula combined a row-level average (</w:t>
      </w:r>
      <w:proofErr w:type="spellStart"/>
      <w:r>
        <w:t>Inventory_Level</w:t>
      </w:r>
      <w:proofErr w:type="spellEnd"/>
      <w:r>
        <w:t>) with a dataset-wide sum (</w:t>
      </w:r>
      <w:proofErr w:type="spellStart"/>
      <w:r>
        <w:t>Historical_Sales</w:t>
      </w:r>
      <w:proofErr w:type="spellEnd"/>
      <w:r>
        <w:t>), producing a ratio near zero due to the scale mismatch between the two terms.</w:t>
      </w:r>
    </w:p>
    <w:p w14:paraId="5838433A" w14:textId="77777777" w:rsidR="00CC032C" w:rsidRDefault="00000000">
      <w:pPr>
        <w:spacing w:after="120"/>
      </w:pPr>
      <w:r>
        <w:rPr>
          <w:b/>
          <w:bCs/>
        </w:rPr>
        <w:t xml:space="preserve">Correction applied: </w:t>
      </w:r>
      <w:r>
        <w:t xml:space="preserve">Both terms were aligned to the same daily grain using AVERAGE for both </w:t>
      </w:r>
      <w:proofErr w:type="spellStart"/>
      <w:r>
        <w:t>Inventory_Level</w:t>
      </w:r>
      <w:proofErr w:type="spellEnd"/>
      <w:r>
        <w:t xml:space="preserve"> and </w:t>
      </w:r>
      <w:proofErr w:type="spellStart"/>
      <w:r>
        <w:t>Historical_Sales</w:t>
      </w:r>
      <w:proofErr w:type="spellEnd"/>
      <w:r>
        <w:t>, consistent with the assumption that both values represent single-day snapshots for the same product-warehouse record (Section 3.1).</w:t>
      </w:r>
    </w:p>
    <w:p w14:paraId="0177F0AD" w14:textId="77777777" w:rsidR="00CC032C" w:rsidRDefault="00000000">
      <w:pPr>
        <w:pStyle w:val="Heading2"/>
      </w:pPr>
      <w:r>
        <w:t>4.5 On-Time Delivery Rate</w:t>
      </w:r>
    </w:p>
    <w:p w14:paraId="7158BFD6" w14:textId="77777777" w:rsidR="00CC032C" w:rsidRDefault="00000000">
      <w:pPr>
        <w:spacing w:after="120"/>
      </w:pPr>
      <w:r>
        <w:t xml:space="preserve">On-Time Delivery Rate calculates to approximately 22.89% across the dataset, notably below the 80-95% range typically considered healthy in industry benchmarks. The underlying </w:t>
      </w:r>
      <w:proofErr w:type="spellStart"/>
      <w:r>
        <w:t>Delivery_Time_OnTime</w:t>
      </w:r>
      <w:proofErr w:type="spellEnd"/>
      <w:r>
        <w:t xml:space="preserve"> flag was reviewed directly to confirm this reflects the data as recorded, rather than a calculation or flag-direction error.</w:t>
      </w:r>
    </w:p>
    <w:p w14:paraId="74C46E46" w14:textId="77777777" w:rsidR="00CC032C" w:rsidRDefault="00000000">
      <w:pPr>
        <w:spacing w:after="120"/>
      </w:pPr>
      <w:r>
        <w:rPr>
          <w:b/>
          <w:bCs/>
        </w:rPr>
        <w:t xml:space="preserve">Conclusion: </w:t>
      </w:r>
      <w:r>
        <w:t xml:space="preserve">This is treated as a genuine finding rather than a data limitation — </w:t>
      </w:r>
      <w:proofErr w:type="gramStart"/>
      <w:r>
        <w:t>the majority of</w:t>
      </w:r>
      <w:proofErr w:type="gramEnd"/>
      <w:r>
        <w:t xml:space="preserve"> shipments in this dataset are recorded as delayed. It is carried forward as a headline insight in the accompanying Insights &amp; Recommendations report rather than flagged as an unresolved issue here.</w:t>
      </w:r>
    </w:p>
    <w:p w14:paraId="2EC770A3" w14:textId="77777777" w:rsidR="00CC032C" w:rsidRDefault="00000000">
      <w:pPr>
        <w:pStyle w:val="Heading1"/>
      </w:pPr>
      <w:r>
        <w:t>5. KPI Explanation Using Dashboard</w:t>
      </w:r>
    </w:p>
    <w:p w14:paraId="3438E4C6" w14:textId="77777777" w:rsidR="00CC032C" w:rsidRDefault="00000000">
      <w:pPr>
        <w:spacing w:after="120"/>
      </w:pPr>
      <w:r>
        <w:t>This section explains each KPI's formula and reasoning as it appears on each dashboard page.</w:t>
      </w:r>
    </w:p>
    <w:p w14:paraId="05AD4551" w14:textId="77777777" w:rsidR="00CC032C" w:rsidRDefault="00000000">
      <w:pPr>
        <w:pStyle w:val="Heading2"/>
      </w:pPr>
      <w:r>
        <w:t>5.1 Executive Dashboard</w:t>
      </w:r>
    </w:p>
    <w:p w14:paraId="6348EF8B" w14:textId="77777777" w:rsidR="00CC032C" w:rsidRDefault="00000000">
      <w:pPr>
        <w:spacing w:before="200" w:after="80"/>
      </w:pPr>
      <w:r>
        <w:rPr>
          <w:b/>
          <w:bCs/>
          <w:color w:val="2E8B7F"/>
          <w:sz w:val="23"/>
          <w:szCs w:val="23"/>
        </w:rPr>
        <w:t>Profit Margin</w:t>
      </w:r>
    </w:p>
    <w:p w14:paraId="001A8D67"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Net_Profit_Margin</w:t>
      </w:r>
      <w:proofErr w:type="spellEnd"/>
      <w:r>
        <w:rPr>
          <w:rFonts w:ascii="Consolas" w:eastAsia="Consolas" w:hAnsi="Consolas" w:cs="Consolas"/>
          <w:color w:val="1F6F65"/>
          <w:sz w:val="19"/>
          <w:szCs w:val="19"/>
        </w:rPr>
        <w:t>% = SUM(</w:t>
      </w: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 / SUM(Revenue) x 100</w:t>
      </w:r>
    </w:p>
    <w:p w14:paraId="15AF5D18" w14:textId="77777777" w:rsidR="00CC032C" w:rsidRDefault="00000000">
      <w:pPr>
        <w:spacing w:after="120"/>
      </w:pPr>
      <w:r>
        <w:t>Represents the percentage of revenue retained as profit after deducting cost of goods sold, shipping, tariff, and marketing costs. Used as the single headline indicator of overall business profitability.</w:t>
      </w:r>
    </w:p>
    <w:p w14:paraId="03932FCD" w14:textId="77777777" w:rsidR="00CC032C" w:rsidRDefault="00000000">
      <w:pPr>
        <w:spacing w:before="200" w:after="80"/>
      </w:pPr>
      <w:r>
        <w:rPr>
          <w:b/>
          <w:bCs/>
          <w:color w:val="2E8B7F"/>
          <w:sz w:val="23"/>
          <w:szCs w:val="23"/>
        </w:rPr>
        <w:t>Inventory Turnover Rate</w:t>
      </w:r>
    </w:p>
    <w:p w14:paraId="409D714B"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Inventory_Turnover_Rate</w:t>
      </w:r>
      <w:proofErr w:type="spellEnd"/>
      <w:r>
        <w:rPr>
          <w:rFonts w:ascii="Consolas" w:eastAsia="Consolas" w:hAnsi="Consolas" w:cs="Consolas"/>
          <w:color w:val="1F6F65"/>
          <w:sz w:val="19"/>
          <w:szCs w:val="19"/>
        </w:rPr>
        <w:t xml:space="preserve"> = SUM(COGS) / </w:t>
      </w:r>
      <w:proofErr w:type="spellStart"/>
      <w:r>
        <w:rPr>
          <w:rFonts w:ascii="Consolas" w:eastAsia="Consolas" w:hAnsi="Consolas" w:cs="Consolas"/>
          <w:color w:val="1F6F65"/>
          <w:sz w:val="19"/>
          <w:szCs w:val="19"/>
        </w:rPr>
        <w:t>Avg_Inventory_Value</w:t>
      </w:r>
      <w:proofErr w:type="spellEnd"/>
      <w:r>
        <w:rPr>
          <w:rFonts w:ascii="Consolas" w:eastAsia="Consolas" w:hAnsi="Consolas" w:cs="Consolas"/>
          <w:color w:val="1F6F65"/>
          <w:sz w:val="19"/>
          <w:szCs w:val="19"/>
        </w:rPr>
        <w:t xml:space="preserve"> / 2</w:t>
      </w:r>
    </w:p>
    <w:p w14:paraId="73102184" w14:textId="77777777" w:rsidR="00CC032C" w:rsidRDefault="00000000">
      <w:pPr>
        <w:spacing w:after="120"/>
      </w:pPr>
      <w:r>
        <w:t xml:space="preserve">Measures how efficiently inventory is converted into sales. </w:t>
      </w:r>
      <w:proofErr w:type="spellStart"/>
      <w:r>
        <w:t>Avg_Inventory_Value</w:t>
      </w:r>
      <w:proofErr w:type="spellEnd"/>
      <w:r>
        <w:t xml:space="preserve"> is calculated as (Beginning Month Inventory Value + Ending Month Inventory Value) / 2 — see Section 3.5. The result is divided by 2 to annualise the rate, since SUM(COGS) is summed across the full two-year dataset period.</w:t>
      </w:r>
    </w:p>
    <w:p w14:paraId="4CE2BE1D" w14:textId="77777777" w:rsidR="00CC032C" w:rsidRDefault="00000000">
      <w:pPr>
        <w:spacing w:before="200" w:after="80"/>
      </w:pPr>
      <w:r>
        <w:rPr>
          <w:b/>
          <w:bCs/>
          <w:color w:val="2E8B7F"/>
          <w:sz w:val="23"/>
          <w:szCs w:val="23"/>
        </w:rPr>
        <w:t>COGS</w:t>
      </w:r>
    </w:p>
    <w:p w14:paraId="31A42D70" w14:textId="77777777" w:rsidR="00CC032C" w:rsidRDefault="00000000">
      <w:pPr>
        <w:shd w:val="clear" w:color="auto" w:fill="F2F2F2"/>
        <w:spacing w:before="80" w:after="80"/>
        <w:ind w:left="360"/>
      </w:pPr>
      <w:r>
        <w:rPr>
          <w:rFonts w:ascii="Consolas" w:eastAsia="Consolas" w:hAnsi="Consolas" w:cs="Consolas"/>
          <w:color w:val="1F6F65"/>
          <w:sz w:val="19"/>
          <w:szCs w:val="19"/>
        </w:rPr>
        <w:t>COGS = Revenue x (1 - Category Gross Margin %)</w:t>
      </w:r>
    </w:p>
    <w:p w14:paraId="026FDF6F" w14:textId="77777777" w:rsidR="00CC032C" w:rsidRDefault="00000000">
      <w:pPr>
        <w:spacing w:after="120"/>
      </w:pPr>
      <w:r>
        <w:t>Total cost of goods sold, derived from Revenue using assumed category-level gross margins (Section 3.3).</w:t>
      </w:r>
    </w:p>
    <w:p w14:paraId="18DB4C37" w14:textId="77777777" w:rsidR="00CC032C" w:rsidRDefault="00000000">
      <w:pPr>
        <w:spacing w:before="200" w:after="80"/>
      </w:pPr>
      <w:r>
        <w:rPr>
          <w:b/>
          <w:bCs/>
          <w:color w:val="2E8B7F"/>
          <w:sz w:val="23"/>
          <w:szCs w:val="23"/>
        </w:rPr>
        <w:lastRenderedPageBreak/>
        <w:t>Lead Time</w:t>
      </w:r>
    </w:p>
    <w:p w14:paraId="300797E0"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Avg_Lead_Time_Days</w:t>
      </w:r>
      <w:proofErr w:type="spellEnd"/>
      <w:r>
        <w:rPr>
          <w:rFonts w:ascii="Consolas" w:eastAsia="Consolas" w:hAnsi="Consolas" w:cs="Consolas"/>
          <w:color w:val="1F6F65"/>
          <w:sz w:val="19"/>
          <w:szCs w:val="19"/>
        </w:rPr>
        <w:t xml:space="preserve"> = AVERAGE(</w:t>
      </w:r>
      <w:proofErr w:type="spellStart"/>
      <w:r>
        <w:rPr>
          <w:rFonts w:ascii="Consolas" w:eastAsia="Consolas" w:hAnsi="Consolas" w:cs="Consolas"/>
          <w:color w:val="1F6F65"/>
          <w:sz w:val="19"/>
          <w:szCs w:val="19"/>
        </w:rPr>
        <w:t>Lead_Time_Days</w:t>
      </w:r>
      <w:proofErr w:type="spellEnd"/>
      <w:r>
        <w:rPr>
          <w:rFonts w:ascii="Consolas" w:eastAsia="Consolas" w:hAnsi="Consolas" w:cs="Consolas"/>
          <w:color w:val="1F6F65"/>
          <w:sz w:val="19"/>
          <w:szCs w:val="19"/>
        </w:rPr>
        <w:t>)</w:t>
      </w:r>
    </w:p>
    <w:p w14:paraId="2E5A3834" w14:textId="77777777" w:rsidR="00CC032C" w:rsidRDefault="00000000">
      <w:pPr>
        <w:spacing w:after="120"/>
      </w:pPr>
      <w:r>
        <w:t>Average number of days between dispatch and delivery, used as a proxy for order cycle time since the dataset does not record separate order placement and delivery timestamps.</w:t>
      </w:r>
    </w:p>
    <w:p w14:paraId="562AF5D6" w14:textId="77777777" w:rsidR="00CC032C" w:rsidRDefault="00000000">
      <w:pPr>
        <w:spacing w:before="200" w:after="80"/>
      </w:pPr>
      <w:r>
        <w:rPr>
          <w:b/>
          <w:bCs/>
          <w:color w:val="2E8B7F"/>
          <w:sz w:val="23"/>
          <w:szCs w:val="23"/>
        </w:rPr>
        <w:t>On Time Delivery Rate</w:t>
      </w:r>
    </w:p>
    <w:p w14:paraId="4925EF81"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OnTime_Delivery_Rate</w:t>
      </w:r>
      <w:proofErr w:type="spellEnd"/>
      <w:r>
        <w:rPr>
          <w:rFonts w:ascii="Consolas" w:eastAsia="Consolas" w:hAnsi="Consolas" w:cs="Consolas"/>
          <w:color w:val="1F6F65"/>
          <w:sz w:val="19"/>
          <w:szCs w:val="19"/>
        </w:rPr>
        <w:t xml:space="preserve">% = </w:t>
      </w:r>
      <w:proofErr w:type="gramStart"/>
      <w:r>
        <w:rPr>
          <w:rFonts w:ascii="Consolas" w:eastAsia="Consolas" w:hAnsi="Consolas" w:cs="Consolas"/>
          <w:color w:val="1F6F65"/>
          <w:sz w:val="19"/>
          <w:szCs w:val="19"/>
        </w:rPr>
        <w:t>COUNT(</w:t>
      </w:r>
      <w:proofErr w:type="spellStart"/>
      <w:proofErr w:type="gramEnd"/>
      <w:r>
        <w:rPr>
          <w:rFonts w:ascii="Consolas" w:eastAsia="Consolas" w:hAnsi="Consolas" w:cs="Consolas"/>
          <w:color w:val="1F6F65"/>
          <w:sz w:val="19"/>
          <w:szCs w:val="19"/>
        </w:rPr>
        <w:t>Delivery_Time_OnTime</w:t>
      </w:r>
      <w:proofErr w:type="spellEnd"/>
      <w:r>
        <w:rPr>
          <w:rFonts w:ascii="Consolas" w:eastAsia="Consolas" w:hAnsi="Consolas" w:cs="Consolas"/>
          <w:color w:val="1F6F65"/>
          <w:sz w:val="19"/>
          <w:szCs w:val="19"/>
        </w:rPr>
        <w:t xml:space="preserve"> = 1) / </w:t>
      </w:r>
      <w:proofErr w:type="gramStart"/>
      <w:r>
        <w:rPr>
          <w:rFonts w:ascii="Consolas" w:eastAsia="Consolas" w:hAnsi="Consolas" w:cs="Consolas"/>
          <w:color w:val="1F6F65"/>
          <w:sz w:val="19"/>
          <w:szCs w:val="19"/>
        </w:rPr>
        <w:t>COUNT(</w:t>
      </w:r>
      <w:proofErr w:type="gramEnd"/>
      <w:r>
        <w:rPr>
          <w:rFonts w:ascii="Consolas" w:eastAsia="Consolas" w:hAnsi="Consolas" w:cs="Consolas"/>
          <w:color w:val="1F6F65"/>
          <w:sz w:val="19"/>
          <w:szCs w:val="19"/>
        </w:rPr>
        <w:t>all rows) x 100</w:t>
      </w:r>
    </w:p>
    <w:p w14:paraId="4F61FCC2" w14:textId="77777777" w:rsidR="00CC032C" w:rsidRDefault="00000000">
      <w:pPr>
        <w:spacing w:after="120"/>
      </w:pPr>
      <w:r>
        <w:t xml:space="preserve">Percentage of shipments delivered on time, based on the </w:t>
      </w:r>
      <w:proofErr w:type="spellStart"/>
      <w:r>
        <w:t>Delivery_Time_OnTime</w:t>
      </w:r>
      <w:proofErr w:type="spellEnd"/>
      <w:r>
        <w:t xml:space="preserve"> flag provided in the dataset.</w:t>
      </w:r>
    </w:p>
    <w:p w14:paraId="7D2A7098" w14:textId="77777777" w:rsidR="00CC032C" w:rsidRDefault="00000000">
      <w:pPr>
        <w:spacing w:before="200" w:after="80"/>
      </w:pPr>
      <w:r>
        <w:rPr>
          <w:b/>
          <w:bCs/>
          <w:color w:val="2E8B7F"/>
          <w:sz w:val="23"/>
          <w:szCs w:val="23"/>
        </w:rPr>
        <w:t>Service Level</w:t>
      </w:r>
    </w:p>
    <w:p w14:paraId="602E7A6B"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Avg_Service_Level</w:t>
      </w:r>
      <w:proofErr w:type="spellEnd"/>
      <w:r>
        <w:rPr>
          <w:rFonts w:ascii="Consolas" w:eastAsia="Consolas" w:hAnsi="Consolas" w:cs="Consolas"/>
          <w:color w:val="1F6F65"/>
          <w:sz w:val="19"/>
          <w:szCs w:val="19"/>
        </w:rPr>
        <w:t xml:space="preserve"> = AVERAGE(</w:t>
      </w:r>
      <w:proofErr w:type="spellStart"/>
      <w:r>
        <w:rPr>
          <w:rFonts w:ascii="Consolas" w:eastAsia="Consolas" w:hAnsi="Consolas" w:cs="Consolas"/>
          <w:color w:val="1F6F65"/>
          <w:sz w:val="19"/>
          <w:szCs w:val="19"/>
        </w:rPr>
        <w:t>Service_Level</w:t>
      </w:r>
      <w:proofErr w:type="spellEnd"/>
      <w:r>
        <w:rPr>
          <w:rFonts w:ascii="Consolas" w:eastAsia="Consolas" w:hAnsi="Consolas" w:cs="Consolas"/>
          <w:color w:val="1F6F65"/>
          <w:sz w:val="19"/>
          <w:szCs w:val="19"/>
        </w:rPr>
        <w:t>)</w:t>
      </w:r>
    </w:p>
    <w:p w14:paraId="721B36CE" w14:textId="77777777" w:rsidR="00CC032C" w:rsidRDefault="00000000">
      <w:pPr>
        <w:spacing w:after="120"/>
      </w:pPr>
      <w:r>
        <w:t xml:space="preserve">Average </w:t>
      </w:r>
      <w:proofErr w:type="spellStart"/>
      <w:r>
        <w:t>fulfillment</w:t>
      </w:r>
      <w:proofErr w:type="spellEnd"/>
      <w:r>
        <w:t xml:space="preserve"> performance score as provided in the dataset, reflecting overall reliability of order </w:t>
      </w:r>
      <w:proofErr w:type="spellStart"/>
      <w:r>
        <w:t>fulfillment</w:t>
      </w:r>
      <w:proofErr w:type="spellEnd"/>
      <w:r>
        <w:t xml:space="preserve"> from the warehouse.</w:t>
      </w:r>
    </w:p>
    <w:p w14:paraId="1912782C" w14:textId="77777777" w:rsidR="00CC032C" w:rsidRDefault="00000000">
      <w:pPr>
        <w:spacing w:before="200" w:after="80"/>
      </w:pPr>
      <w:r>
        <w:rPr>
          <w:b/>
          <w:bCs/>
          <w:color w:val="2E8B7F"/>
          <w:sz w:val="23"/>
          <w:szCs w:val="23"/>
        </w:rPr>
        <w:t xml:space="preserve">Net Profit vs Revenue by </w:t>
      </w:r>
      <w:proofErr w:type="spellStart"/>
      <w:r>
        <w:rPr>
          <w:b/>
          <w:bCs/>
          <w:color w:val="2E8B7F"/>
          <w:sz w:val="23"/>
          <w:szCs w:val="23"/>
        </w:rPr>
        <w:t>Product_Category</w:t>
      </w:r>
      <w:proofErr w:type="spellEnd"/>
    </w:p>
    <w:p w14:paraId="7498E2DC"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 xml:space="preserve">), SUM(Revenue) — grouped by </w:t>
      </w:r>
      <w:proofErr w:type="spellStart"/>
      <w:r>
        <w:rPr>
          <w:rFonts w:ascii="Consolas" w:eastAsia="Consolas" w:hAnsi="Consolas" w:cs="Consolas"/>
          <w:color w:val="1F6F65"/>
          <w:sz w:val="19"/>
          <w:szCs w:val="19"/>
        </w:rPr>
        <w:t>Product_Category</w:t>
      </w:r>
      <w:proofErr w:type="spellEnd"/>
    </w:p>
    <w:p w14:paraId="2843F893" w14:textId="77777777" w:rsidR="00CC032C" w:rsidRDefault="00000000">
      <w:pPr>
        <w:spacing w:after="120"/>
      </w:pPr>
      <w:r>
        <w:t>Compares total revenue generated against total profit retained for each category, visually highlighting which categories convert revenue into profit most efficiently.</w:t>
      </w:r>
    </w:p>
    <w:p w14:paraId="52A3F38C" w14:textId="77777777" w:rsidR="00CC032C" w:rsidRDefault="00000000">
      <w:pPr>
        <w:spacing w:before="200" w:after="80"/>
      </w:pPr>
      <w:r>
        <w:rPr>
          <w:b/>
          <w:bCs/>
          <w:color w:val="2E8B7F"/>
          <w:sz w:val="23"/>
          <w:szCs w:val="23"/>
        </w:rPr>
        <w:t>Warehouse Utilization</w:t>
      </w:r>
    </w:p>
    <w:p w14:paraId="76C31B05" w14:textId="77777777" w:rsidR="00CC032C" w:rsidRDefault="00000000">
      <w:pPr>
        <w:shd w:val="clear" w:color="auto" w:fill="F2F2F2"/>
        <w:spacing w:before="80" w:after="80"/>
        <w:ind w:left="360"/>
      </w:pPr>
      <w:r>
        <w:rPr>
          <w:rFonts w:ascii="Consolas" w:eastAsia="Consolas" w:hAnsi="Consolas" w:cs="Consolas"/>
          <w:color w:val="1F6F65"/>
          <w:sz w:val="19"/>
          <w:szCs w:val="19"/>
        </w:rPr>
        <w:t>AVERAGE(Warehouse_Utilization%_</w:t>
      </w:r>
      <w:proofErr w:type="spellStart"/>
      <w:r>
        <w:rPr>
          <w:rFonts w:ascii="Consolas" w:eastAsia="Consolas" w:hAnsi="Consolas" w:cs="Consolas"/>
          <w:color w:val="1F6F65"/>
          <w:sz w:val="19"/>
          <w:szCs w:val="19"/>
        </w:rPr>
        <w:t>per_product</w:t>
      </w:r>
      <w:proofErr w:type="spellEnd"/>
      <w:r>
        <w:rPr>
          <w:rFonts w:ascii="Consolas" w:eastAsia="Consolas" w:hAnsi="Consolas" w:cs="Consolas"/>
          <w:color w:val="1F6F65"/>
          <w:sz w:val="19"/>
          <w:szCs w:val="19"/>
        </w:rPr>
        <w:t xml:space="preserve">) — grouped by </w:t>
      </w:r>
      <w:proofErr w:type="spellStart"/>
      <w:r>
        <w:rPr>
          <w:rFonts w:ascii="Consolas" w:eastAsia="Consolas" w:hAnsi="Consolas" w:cs="Consolas"/>
          <w:color w:val="1F6F65"/>
          <w:sz w:val="19"/>
          <w:szCs w:val="19"/>
        </w:rPr>
        <w:t>Warehouse_ID</w:t>
      </w:r>
      <w:proofErr w:type="spellEnd"/>
      <w:r>
        <w:rPr>
          <w:rFonts w:ascii="Consolas" w:eastAsia="Consolas" w:hAnsi="Consolas" w:cs="Consolas"/>
          <w:color w:val="1F6F65"/>
          <w:sz w:val="19"/>
          <w:szCs w:val="19"/>
        </w:rPr>
        <w:t xml:space="preserve"> where Warehouse_Utilization%_</w:t>
      </w:r>
      <w:proofErr w:type="spellStart"/>
      <w:r>
        <w:rPr>
          <w:rFonts w:ascii="Consolas" w:eastAsia="Consolas" w:hAnsi="Consolas" w:cs="Consolas"/>
          <w:color w:val="1F6F65"/>
          <w:sz w:val="19"/>
          <w:szCs w:val="19"/>
        </w:rPr>
        <w:t>per_product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Inventory_Level</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Warehouse_Capacity</w:t>
      </w:r>
      <w:proofErr w:type="spellEnd"/>
    </w:p>
    <w:p w14:paraId="35F094DD" w14:textId="77777777" w:rsidR="00CC032C" w:rsidRDefault="00000000">
      <w:pPr>
        <w:spacing w:after="120"/>
      </w:pPr>
      <w:r>
        <w:t xml:space="preserve">Reflects average allocated-capacity usage per product snapshot within each warehouse. Due to </w:t>
      </w:r>
      <w:proofErr w:type="spellStart"/>
      <w:r>
        <w:t>Warehouse_Capacity</w:t>
      </w:r>
      <w:proofErr w:type="spellEnd"/>
      <w:r>
        <w:t xml:space="preserve"> varying at the row level (Section 4.2), this metric should be interpreted as relative product-level space utilization rather than a definitive measure of total warehouse fullness.</w:t>
      </w:r>
    </w:p>
    <w:p w14:paraId="698BBA79" w14:textId="77777777" w:rsidR="00CC032C" w:rsidRDefault="00000000">
      <w:pPr>
        <w:spacing w:before="200" w:after="80"/>
      </w:pPr>
      <w:r>
        <w:rPr>
          <w:b/>
          <w:bCs/>
          <w:color w:val="2E8B7F"/>
          <w:sz w:val="23"/>
          <w:szCs w:val="23"/>
        </w:rPr>
        <w:t>Average Shipping Cost by Mode</w:t>
      </w:r>
    </w:p>
    <w:p w14:paraId="307DAC25" w14:textId="77777777" w:rsidR="00CC032C" w:rsidRDefault="00000000">
      <w:pPr>
        <w:shd w:val="clear" w:color="auto" w:fill="F2F2F2"/>
        <w:spacing w:before="80" w:after="80"/>
        <w:ind w:left="360"/>
      </w:pPr>
      <w:r>
        <w:rPr>
          <w:rFonts w:ascii="Consolas" w:eastAsia="Consolas" w:hAnsi="Consolas" w:cs="Consolas"/>
          <w:color w:val="1F6F65"/>
          <w:sz w:val="19"/>
          <w:szCs w:val="19"/>
        </w:rPr>
        <w:t>AVERAGE(</w:t>
      </w:r>
      <w:proofErr w:type="spellStart"/>
      <w:r>
        <w:rPr>
          <w:rFonts w:ascii="Consolas" w:eastAsia="Consolas" w:hAnsi="Consolas" w:cs="Consolas"/>
          <w:color w:val="1F6F65"/>
          <w:sz w:val="19"/>
          <w:szCs w:val="19"/>
        </w:rPr>
        <w:t>Shipping_Cost</w:t>
      </w:r>
      <w:proofErr w:type="spellEnd"/>
      <w:r>
        <w:rPr>
          <w:rFonts w:ascii="Consolas" w:eastAsia="Consolas" w:hAnsi="Consolas" w:cs="Consolas"/>
          <w:color w:val="1F6F65"/>
          <w:sz w:val="19"/>
          <w:szCs w:val="19"/>
        </w:rPr>
        <w:t xml:space="preserve">) — grouped by </w:t>
      </w:r>
      <w:proofErr w:type="spellStart"/>
      <w:r>
        <w:rPr>
          <w:rFonts w:ascii="Consolas" w:eastAsia="Consolas" w:hAnsi="Consolas" w:cs="Consolas"/>
          <w:color w:val="1F6F65"/>
          <w:sz w:val="19"/>
          <w:szCs w:val="19"/>
        </w:rPr>
        <w:t>Shipping_Mode</w:t>
      </w:r>
      <w:proofErr w:type="spellEnd"/>
    </w:p>
    <w:p w14:paraId="6041C867" w14:textId="77777777" w:rsidR="00CC032C" w:rsidRDefault="00000000">
      <w:pPr>
        <w:spacing w:after="120"/>
      </w:pPr>
      <w:r>
        <w:t>Average shipping cost per shipment record for each transport mode (Air, Ground, Sea), used to compare cost efficiency across shipping methods.</w:t>
      </w:r>
    </w:p>
    <w:p w14:paraId="56B203C3" w14:textId="77777777" w:rsidR="00CC032C" w:rsidRDefault="00000000">
      <w:pPr>
        <w:spacing w:before="200" w:after="80"/>
      </w:pPr>
      <w:r>
        <w:rPr>
          <w:b/>
          <w:bCs/>
          <w:color w:val="2E8B7F"/>
          <w:sz w:val="23"/>
          <w:szCs w:val="23"/>
        </w:rPr>
        <w:t>Historical Sales (trend)</w:t>
      </w:r>
    </w:p>
    <w:p w14:paraId="064742B5"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Historical_Sales</w:t>
      </w:r>
      <w:proofErr w:type="spellEnd"/>
      <w:r>
        <w:rPr>
          <w:rFonts w:ascii="Consolas" w:eastAsia="Consolas" w:hAnsi="Consolas" w:cs="Consolas"/>
          <w:color w:val="1F6F65"/>
          <w:sz w:val="19"/>
          <w:szCs w:val="19"/>
        </w:rPr>
        <w:t>) — by Month/Year</w:t>
      </w:r>
    </w:p>
    <w:p w14:paraId="76D6DEAF" w14:textId="77777777" w:rsidR="00CC032C" w:rsidRDefault="00000000">
      <w:pPr>
        <w:spacing w:after="120"/>
      </w:pPr>
      <w:r>
        <w:t>Total units sold per month across all categories, showing overall demand trend and seasonality across the two-year period.</w:t>
      </w:r>
    </w:p>
    <w:p w14:paraId="2C29E3F9" w14:textId="77777777" w:rsidR="00CC032C" w:rsidRDefault="00000000">
      <w:pPr>
        <w:pStyle w:val="Heading2"/>
      </w:pPr>
      <w:r>
        <w:t>5.2 Inventory Management</w:t>
      </w:r>
    </w:p>
    <w:p w14:paraId="5E1B9FCC" w14:textId="77777777" w:rsidR="00CC032C" w:rsidRDefault="00000000">
      <w:pPr>
        <w:spacing w:before="200" w:after="80"/>
      </w:pPr>
      <w:r>
        <w:rPr>
          <w:b/>
          <w:bCs/>
          <w:color w:val="2E8B7F"/>
          <w:sz w:val="23"/>
          <w:szCs w:val="23"/>
        </w:rPr>
        <w:t>Stockout Rate</w:t>
      </w:r>
    </w:p>
    <w:p w14:paraId="64CE34DE"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Stockout_Rate</w:t>
      </w:r>
      <w:proofErr w:type="spellEnd"/>
      <w:r>
        <w:rPr>
          <w:rFonts w:ascii="Consolas" w:eastAsia="Consolas" w:hAnsi="Consolas" w:cs="Consolas"/>
          <w:color w:val="1F6F65"/>
          <w:sz w:val="19"/>
          <w:szCs w:val="19"/>
        </w:rPr>
        <w:t xml:space="preserve">% = </w:t>
      </w:r>
      <w:proofErr w:type="gramStart"/>
      <w:r>
        <w:rPr>
          <w:rFonts w:ascii="Consolas" w:eastAsia="Consolas" w:hAnsi="Consolas" w:cs="Consolas"/>
          <w:color w:val="1F6F65"/>
          <w:sz w:val="19"/>
          <w:szCs w:val="19"/>
        </w:rPr>
        <w:t>COUNT(</w:t>
      </w:r>
      <w:proofErr w:type="spellStart"/>
      <w:proofErr w:type="gramEnd"/>
      <w:r>
        <w:rPr>
          <w:rFonts w:ascii="Consolas" w:eastAsia="Consolas" w:hAnsi="Consolas" w:cs="Consolas"/>
          <w:color w:val="1F6F65"/>
          <w:sz w:val="19"/>
          <w:szCs w:val="19"/>
        </w:rPr>
        <w:t>Stockout_Flag</w:t>
      </w:r>
      <w:proofErr w:type="spellEnd"/>
      <w:r>
        <w:rPr>
          <w:rFonts w:ascii="Consolas" w:eastAsia="Consolas" w:hAnsi="Consolas" w:cs="Consolas"/>
          <w:color w:val="1F6F65"/>
          <w:sz w:val="19"/>
          <w:szCs w:val="19"/>
        </w:rPr>
        <w:t xml:space="preserve"> = 1) / </w:t>
      </w:r>
      <w:proofErr w:type="gramStart"/>
      <w:r>
        <w:rPr>
          <w:rFonts w:ascii="Consolas" w:eastAsia="Consolas" w:hAnsi="Consolas" w:cs="Consolas"/>
          <w:color w:val="1F6F65"/>
          <w:sz w:val="19"/>
          <w:szCs w:val="19"/>
        </w:rPr>
        <w:t>COUNT(</w:t>
      </w:r>
      <w:proofErr w:type="gramEnd"/>
      <w:r>
        <w:rPr>
          <w:rFonts w:ascii="Consolas" w:eastAsia="Consolas" w:hAnsi="Consolas" w:cs="Consolas"/>
          <w:color w:val="1F6F65"/>
          <w:sz w:val="19"/>
          <w:szCs w:val="19"/>
        </w:rPr>
        <w:t>all rows) x 100</w:t>
      </w:r>
    </w:p>
    <w:p w14:paraId="55CF07BB" w14:textId="77777777" w:rsidR="00CC032C" w:rsidRDefault="00000000">
      <w:pPr>
        <w:spacing w:after="120"/>
      </w:pPr>
      <w:r>
        <w:t xml:space="preserve">Percentage of product-warehouse-date records where a stockout occurred, based on the </w:t>
      </w:r>
      <w:proofErr w:type="spellStart"/>
      <w:r>
        <w:t>Stockout_Flag</w:t>
      </w:r>
      <w:proofErr w:type="spellEnd"/>
      <w:r>
        <w:t xml:space="preserve"> provided in the dataset. Used to identify which categories and warehouses carry the highest risk of unmet demand.</w:t>
      </w:r>
    </w:p>
    <w:p w14:paraId="5376F007" w14:textId="77777777" w:rsidR="006E750F" w:rsidRDefault="006E750F">
      <w:pPr>
        <w:spacing w:before="200" w:after="80"/>
        <w:rPr>
          <w:b/>
          <w:bCs/>
          <w:color w:val="2E8B7F"/>
          <w:sz w:val="23"/>
          <w:szCs w:val="23"/>
        </w:rPr>
      </w:pPr>
    </w:p>
    <w:p w14:paraId="02687E09" w14:textId="1D15414D" w:rsidR="00CC032C" w:rsidRDefault="00000000">
      <w:pPr>
        <w:spacing w:before="200" w:after="80"/>
      </w:pPr>
      <w:r>
        <w:rPr>
          <w:b/>
          <w:bCs/>
          <w:color w:val="2E8B7F"/>
          <w:sz w:val="23"/>
          <w:szCs w:val="23"/>
        </w:rPr>
        <w:lastRenderedPageBreak/>
        <w:t>Inventory Turnover Rate</w:t>
      </w:r>
    </w:p>
    <w:p w14:paraId="677118AD" w14:textId="77777777" w:rsidR="006E750F" w:rsidRDefault="00000000">
      <w:pPr>
        <w:shd w:val="clear" w:color="auto" w:fill="F2F2F2"/>
        <w:spacing w:before="80" w:after="80"/>
        <w:ind w:left="360"/>
        <w:rPr>
          <w:rFonts w:ascii="Consolas" w:eastAsia="Consolas" w:hAnsi="Consolas" w:cs="Consolas"/>
          <w:color w:val="1F6F65"/>
          <w:sz w:val="19"/>
          <w:szCs w:val="19"/>
        </w:rPr>
      </w:pPr>
      <w:proofErr w:type="spellStart"/>
      <w:r>
        <w:rPr>
          <w:rFonts w:ascii="Consolas" w:eastAsia="Consolas" w:hAnsi="Consolas" w:cs="Consolas"/>
          <w:color w:val="1F6F65"/>
          <w:sz w:val="19"/>
          <w:szCs w:val="19"/>
        </w:rPr>
        <w:t>Inventory_Turnover_Rate</w:t>
      </w:r>
      <w:proofErr w:type="spellEnd"/>
      <w:r>
        <w:rPr>
          <w:rFonts w:ascii="Consolas" w:eastAsia="Consolas" w:hAnsi="Consolas" w:cs="Consolas"/>
          <w:color w:val="1F6F65"/>
          <w:sz w:val="19"/>
          <w:szCs w:val="19"/>
        </w:rPr>
        <w:t xml:space="preserve"> = SUM(COGS) / </w:t>
      </w:r>
      <w:proofErr w:type="spellStart"/>
      <w:r>
        <w:rPr>
          <w:rFonts w:ascii="Consolas" w:eastAsia="Consolas" w:hAnsi="Consolas" w:cs="Consolas"/>
          <w:color w:val="1F6F65"/>
          <w:sz w:val="19"/>
          <w:szCs w:val="19"/>
        </w:rPr>
        <w:t>Avg_Inventory_Value</w:t>
      </w:r>
      <w:proofErr w:type="spellEnd"/>
      <w:r>
        <w:rPr>
          <w:rFonts w:ascii="Consolas" w:eastAsia="Consolas" w:hAnsi="Consolas" w:cs="Consolas"/>
          <w:color w:val="1F6F65"/>
          <w:sz w:val="19"/>
          <w:szCs w:val="19"/>
        </w:rPr>
        <w:t xml:space="preserve"> / 2</w:t>
      </w:r>
    </w:p>
    <w:p w14:paraId="7DB7BE5D" w14:textId="78CC923D" w:rsidR="00CC032C" w:rsidRDefault="00000000">
      <w:pPr>
        <w:shd w:val="clear" w:color="auto" w:fill="F2F2F2"/>
        <w:spacing w:before="80" w:after="80"/>
        <w:ind w:left="360"/>
      </w:pPr>
      <w:proofErr w:type="spellStart"/>
      <w:r>
        <w:rPr>
          <w:rFonts w:ascii="Consolas" w:eastAsia="Consolas" w:hAnsi="Consolas" w:cs="Consolas"/>
          <w:color w:val="1F6F65"/>
          <w:sz w:val="19"/>
          <w:szCs w:val="19"/>
        </w:rPr>
        <w:t>Avg_Inventory_Value</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Beginning_Inventory_Value</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Ending_Inventory_Value</w:t>
      </w:r>
      <w:proofErr w:type="spellEnd"/>
      <w:r>
        <w:rPr>
          <w:rFonts w:ascii="Consolas" w:eastAsia="Consolas" w:hAnsi="Consolas" w:cs="Consolas"/>
          <w:color w:val="1F6F65"/>
          <w:sz w:val="19"/>
          <w:szCs w:val="19"/>
        </w:rPr>
        <w:t>) / 2</w:t>
      </w:r>
    </w:p>
    <w:p w14:paraId="0D0EDE3E" w14:textId="77777777" w:rsidR="00CC032C" w:rsidRDefault="00000000">
      <w:pPr>
        <w:spacing w:after="120"/>
      </w:pPr>
      <w:proofErr w:type="spellStart"/>
      <w:r>
        <w:t>Beginning_Inventory_Value</w:t>
      </w:r>
      <w:proofErr w:type="spellEnd"/>
      <w:r>
        <w:t xml:space="preserve"> and </w:t>
      </w:r>
      <w:proofErr w:type="spellStart"/>
      <w:r>
        <w:t>Ending_Inventory_Value</w:t>
      </w:r>
      <w:proofErr w:type="spellEnd"/>
      <w:r>
        <w:t xml:space="preserve"> are calculated as the total </w:t>
      </w:r>
      <w:proofErr w:type="spellStart"/>
      <w:r>
        <w:t>Inventory_Level</w:t>
      </w:r>
      <w:proofErr w:type="spellEnd"/>
      <w:r>
        <w:t xml:space="preserve"> x </w:t>
      </w:r>
      <w:proofErr w:type="spellStart"/>
      <w:r>
        <w:t>Product_Price</w:t>
      </w:r>
      <w:proofErr w:type="spellEnd"/>
      <w:r>
        <w:t xml:space="preserve"> summed across all records in the first full calendar month (January 2023) and the last full calendar month (December 2024) of the dataset, respectively. A full calendar month was used rather than a single date because, given the dataset's rotating sample structure, a single date captures only a handful of products per category — too sparse to be representative. A full month captures approximately 1,000+ records, providing a stable and representative figure for both the beginning and ending inventory position. This follows the standard industry formula for Average Inventory Value: (Beginning + Ending) / 2. The result is divided by 2 to annualise the turnover rate, since COGS is summed across the full two-year period.</w:t>
      </w:r>
    </w:p>
    <w:p w14:paraId="0E709CA9" w14:textId="77777777" w:rsidR="00CC032C" w:rsidRDefault="00000000">
      <w:pPr>
        <w:spacing w:before="200" w:after="80"/>
      </w:pPr>
      <w:r>
        <w:rPr>
          <w:b/>
          <w:bCs/>
          <w:color w:val="2E8B7F"/>
          <w:sz w:val="23"/>
          <w:szCs w:val="23"/>
        </w:rPr>
        <w:t>COGS</w:t>
      </w:r>
    </w:p>
    <w:p w14:paraId="1136B259" w14:textId="77777777" w:rsidR="00CC032C" w:rsidRDefault="00000000">
      <w:pPr>
        <w:shd w:val="clear" w:color="auto" w:fill="F2F2F2"/>
        <w:spacing w:before="80" w:after="80"/>
        <w:ind w:left="360"/>
      </w:pPr>
      <w:r>
        <w:rPr>
          <w:rFonts w:ascii="Consolas" w:eastAsia="Consolas" w:hAnsi="Consolas" w:cs="Consolas"/>
          <w:color w:val="1F6F65"/>
          <w:sz w:val="19"/>
          <w:szCs w:val="19"/>
        </w:rPr>
        <w:t>COGS = Revenue x (1 - Category Gross Margin %)</w:t>
      </w:r>
    </w:p>
    <w:p w14:paraId="7A64C796" w14:textId="77777777" w:rsidR="00CC032C" w:rsidRDefault="00000000">
      <w:pPr>
        <w:spacing w:after="120"/>
      </w:pPr>
      <w:r>
        <w:t>Total cost of goods sold by category, derived from Revenue using assumed category-level gross margins, as the dataset does not provide a direct unit cost field.</w:t>
      </w:r>
    </w:p>
    <w:p w14:paraId="0749BBBC" w14:textId="77777777" w:rsidR="00CC032C" w:rsidRDefault="00000000">
      <w:pPr>
        <w:spacing w:before="200" w:after="80"/>
      </w:pPr>
      <w:r>
        <w:rPr>
          <w:b/>
          <w:bCs/>
          <w:color w:val="2E8B7F"/>
          <w:sz w:val="23"/>
          <w:szCs w:val="23"/>
        </w:rPr>
        <w:t>Stock to Sales Ratio</w:t>
      </w:r>
    </w:p>
    <w:p w14:paraId="32B3C0B0"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Stock_to_Sales_Ratio</w:t>
      </w:r>
      <w:proofErr w:type="spellEnd"/>
      <w:r>
        <w:rPr>
          <w:rFonts w:ascii="Consolas" w:eastAsia="Consolas" w:hAnsi="Consolas" w:cs="Consolas"/>
          <w:color w:val="1F6F65"/>
          <w:sz w:val="19"/>
          <w:szCs w:val="19"/>
        </w:rPr>
        <w:t xml:space="preserve"> = AVERAGE(</w:t>
      </w:r>
      <w:proofErr w:type="spellStart"/>
      <w:r>
        <w:rPr>
          <w:rFonts w:ascii="Consolas" w:eastAsia="Consolas" w:hAnsi="Consolas" w:cs="Consolas"/>
          <w:color w:val="1F6F65"/>
          <w:sz w:val="19"/>
          <w:szCs w:val="19"/>
        </w:rPr>
        <w:t>Inventory_Level</w:t>
      </w:r>
      <w:proofErr w:type="spellEnd"/>
      <w:r>
        <w:rPr>
          <w:rFonts w:ascii="Consolas" w:eastAsia="Consolas" w:hAnsi="Consolas" w:cs="Consolas"/>
          <w:color w:val="1F6F65"/>
          <w:sz w:val="19"/>
          <w:szCs w:val="19"/>
        </w:rPr>
        <w:t>) / AVERAGE(</w:t>
      </w:r>
      <w:proofErr w:type="spellStart"/>
      <w:r>
        <w:rPr>
          <w:rFonts w:ascii="Consolas" w:eastAsia="Consolas" w:hAnsi="Consolas" w:cs="Consolas"/>
          <w:color w:val="1F6F65"/>
          <w:sz w:val="19"/>
          <w:szCs w:val="19"/>
        </w:rPr>
        <w:t>Historical_Sales</w:t>
      </w:r>
      <w:proofErr w:type="spellEnd"/>
      <w:r>
        <w:rPr>
          <w:rFonts w:ascii="Consolas" w:eastAsia="Consolas" w:hAnsi="Consolas" w:cs="Consolas"/>
          <w:color w:val="1F6F65"/>
          <w:sz w:val="19"/>
          <w:szCs w:val="19"/>
        </w:rPr>
        <w:t>)</w:t>
      </w:r>
    </w:p>
    <w:p w14:paraId="34F3EBEA" w14:textId="5B1335DB" w:rsidR="00CC032C" w:rsidRDefault="00000000">
      <w:pPr>
        <w:spacing w:after="120"/>
      </w:pPr>
      <w:proofErr w:type="spellStart"/>
      <w:r>
        <w:t>Historical_Sales</w:t>
      </w:r>
      <w:proofErr w:type="spellEnd"/>
      <w:r>
        <w:t xml:space="preserve"> is treated as the actual number of units sold for a given product, </w:t>
      </w:r>
      <w:proofErr w:type="gramStart"/>
      <w:r>
        <w:t>in a given</w:t>
      </w:r>
      <w:proofErr w:type="gramEnd"/>
      <w:r>
        <w:t xml:space="preserve"> warehouse, on that specific date. Since </w:t>
      </w:r>
      <w:proofErr w:type="spellStart"/>
      <w:r>
        <w:t>Inventory_Level</w:t>
      </w:r>
      <w:proofErr w:type="spellEnd"/>
      <w:r>
        <w:t xml:space="preserve"> is also a single-day snapshot, both values share the same daily grain, so AVERAGE is used for both terms to keep the comparison consistent. The ratio represents, on average, how many </w:t>
      </w:r>
      <w:proofErr w:type="spellStart"/>
      <w:r>
        <w:t>days worth</w:t>
      </w:r>
      <w:proofErr w:type="spellEnd"/>
      <w:r>
        <w:t xml:space="preserve"> of current sales the on-hand inventory could cover — a ratio near 1 indicates inventory roughly matches daily sales pace, above 1 indicates inventory held </w:t>
      </w:r>
      <w:proofErr w:type="gramStart"/>
      <w:r>
        <w:t>in excess of</w:t>
      </w:r>
      <w:proofErr w:type="gramEnd"/>
      <w:r>
        <w:t xml:space="preserve"> daily demand, and below 1 indicates lean inventory with higher stockout risk.</w:t>
      </w:r>
    </w:p>
    <w:p w14:paraId="0CAE50E5" w14:textId="77777777" w:rsidR="00CC032C" w:rsidRDefault="00000000">
      <w:pPr>
        <w:spacing w:before="200" w:after="80"/>
      </w:pPr>
      <w:r>
        <w:rPr>
          <w:b/>
          <w:bCs/>
          <w:color w:val="2E8B7F"/>
          <w:sz w:val="23"/>
          <w:szCs w:val="23"/>
        </w:rPr>
        <w:t>Average Return Rate</w:t>
      </w:r>
    </w:p>
    <w:p w14:paraId="16620F5A"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Avg_Return_Rate</w:t>
      </w:r>
      <w:proofErr w:type="spellEnd"/>
      <w:r>
        <w:rPr>
          <w:rFonts w:ascii="Consolas" w:eastAsia="Consolas" w:hAnsi="Consolas" w:cs="Consolas"/>
          <w:color w:val="1F6F65"/>
          <w:sz w:val="19"/>
          <w:szCs w:val="19"/>
        </w:rPr>
        <w:t>% = AVERAGE(</w:t>
      </w:r>
      <w:proofErr w:type="spellStart"/>
      <w:r>
        <w:rPr>
          <w:rFonts w:ascii="Consolas" w:eastAsia="Consolas" w:hAnsi="Consolas" w:cs="Consolas"/>
          <w:color w:val="1F6F65"/>
          <w:sz w:val="19"/>
          <w:szCs w:val="19"/>
        </w:rPr>
        <w:t>Return_Rate</w:t>
      </w:r>
      <w:proofErr w:type="spellEnd"/>
      <w:r>
        <w:rPr>
          <w:rFonts w:ascii="Consolas" w:eastAsia="Consolas" w:hAnsi="Consolas" w:cs="Consolas"/>
          <w:color w:val="1F6F65"/>
          <w:sz w:val="19"/>
          <w:szCs w:val="19"/>
        </w:rPr>
        <w:t>) x 100</w:t>
      </w:r>
    </w:p>
    <w:p w14:paraId="4AF39EFA" w14:textId="77777777" w:rsidR="00CC032C" w:rsidRDefault="00000000">
      <w:pPr>
        <w:spacing w:after="120"/>
      </w:pPr>
      <w:r>
        <w:t xml:space="preserve">Average percentage of sold units returned by customers, by category, used as an indicator of product quality or </w:t>
      </w:r>
      <w:proofErr w:type="spellStart"/>
      <w:r>
        <w:t>fulfillment</w:t>
      </w:r>
      <w:proofErr w:type="spellEnd"/>
      <w:r>
        <w:t xml:space="preserve"> accuracy issues.</w:t>
      </w:r>
    </w:p>
    <w:p w14:paraId="7F26A7E5" w14:textId="77777777" w:rsidR="00CC032C" w:rsidRDefault="00000000">
      <w:pPr>
        <w:spacing w:before="200" w:after="80"/>
      </w:pPr>
      <w:r>
        <w:rPr>
          <w:b/>
          <w:bCs/>
          <w:color w:val="2E8B7F"/>
          <w:sz w:val="23"/>
          <w:szCs w:val="23"/>
        </w:rPr>
        <w:t>Average Carrying Cost</w:t>
      </w:r>
    </w:p>
    <w:p w14:paraId="0903FC8C"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Carrying_Cost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Inventory_Level</w:t>
      </w:r>
      <w:proofErr w:type="spellEnd"/>
      <w:r>
        <w:rPr>
          <w:rFonts w:ascii="Consolas" w:eastAsia="Consolas" w:hAnsi="Consolas" w:cs="Consolas"/>
          <w:color w:val="1F6F65"/>
          <w:sz w:val="19"/>
          <w:szCs w:val="19"/>
        </w:rPr>
        <w:t xml:space="preserve"> x </w:t>
      </w:r>
      <w:proofErr w:type="spellStart"/>
      <w:r>
        <w:rPr>
          <w:rFonts w:ascii="Consolas" w:eastAsia="Consolas" w:hAnsi="Consolas" w:cs="Consolas"/>
          <w:color w:val="1F6F65"/>
          <w:sz w:val="19"/>
          <w:szCs w:val="19"/>
        </w:rPr>
        <w:t>Product_Price</w:t>
      </w:r>
      <w:proofErr w:type="spellEnd"/>
      <w:r>
        <w:rPr>
          <w:rFonts w:ascii="Consolas" w:eastAsia="Consolas" w:hAnsi="Consolas" w:cs="Consolas"/>
          <w:color w:val="1F6F65"/>
          <w:sz w:val="19"/>
          <w:szCs w:val="19"/>
        </w:rPr>
        <w:t xml:space="preserve">) x </w:t>
      </w:r>
      <w:proofErr w:type="spellStart"/>
      <w:r>
        <w:rPr>
          <w:rFonts w:ascii="Consolas" w:eastAsia="Consolas" w:hAnsi="Consolas" w:cs="Consolas"/>
          <w:color w:val="1F6F65"/>
          <w:sz w:val="19"/>
          <w:szCs w:val="19"/>
        </w:rPr>
        <w:t>Carrying_Cost_Rate</w:t>
      </w:r>
      <w:proofErr w:type="spellEnd"/>
    </w:p>
    <w:p w14:paraId="78FC402D" w14:textId="77777777" w:rsidR="00CC032C" w:rsidRDefault="00000000">
      <w:pPr>
        <w:spacing w:after="120"/>
      </w:pPr>
      <w:r>
        <w:t>Estimated annual cost of holding inventory, using assumed category-level holding cost rates (Section 3.4), as the dataset does not provide explicit storage, insurance, or obsolescence cost data.</w:t>
      </w:r>
    </w:p>
    <w:p w14:paraId="0036FCD5" w14:textId="77777777" w:rsidR="00CC032C" w:rsidRDefault="00000000">
      <w:pPr>
        <w:spacing w:before="200" w:after="80"/>
      </w:pPr>
      <w:r>
        <w:rPr>
          <w:b/>
          <w:bCs/>
          <w:color w:val="2E8B7F"/>
          <w:sz w:val="23"/>
          <w:szCs w:val="23"/>
        </w:rPr>
        <w:t>Warehouse Utilization</w:t>
      </w:r>
    </w:p>
    <w:p w14:paraId="588E1BDE" w14:textId="77777777" w:rsidR="00CC032C" w:rsidRDefault="00000000">
      <w:pPr>
        <w:shd w:val="clear" w:color="auto" w:fill="F2F2F2"/>
        <w:spacing w:before="80" w:after="80"/>
        <w:ind w:left="360"/>
      </w:pPr>
      <w:r>
        <w:rPr>
          <w:rFonts w:ascii="Consolas" w:eastAsia="Consolas" w:hAnsi="Consolas" w:cs="Consolas"/>
          <w:color w:val="1F6F65"/>
          <w:sz w:val="19"/>
          <w:szCs w:val="19"/>
        </w:rPr>
        <w:t>AVERAGE(Warehouse_Utilization%_</w:t>
      </w:r>
      <w:proofErr w:type="spellStart"/>
      <w:r>
        <w:rPr>
          <w:rFonts w:ascii="Consolas" w:eastAsia="Consolas" w:hAnsi="Consolas" w:cs="Consolas"/>
          <w:color w:val="1F6F65"/>
          <w:sz w:val="19"/>
          <w:szCs w:val="19"/>
        </w:rPr>
        <w:t>per_product</w:t>
      </w:r>
      <w:proofErr w:type="spellEnd"/>
      <w:r>
        <w:rPr>
          <w:rFonts w:ascii="Consolas" w:eastAsia="Consolas" w:hAnsi="Consolas" w:cs="Consolas"/>
          <w:color w:val="1F6F65"/>
          <w:sz w:val="19"/>
          <w:szCs w:val="19"/>
        </w:rPr>
        <w:t xml:space="preserve">) — grouped by </w:t>
      </w:r>
      <w:proofErr w:type="spellStart"/>
      <w:r>
        <w:rPr>
          <w:rFonts w:ascii="Consolas" w:eastAsia="Consolas" w:hAnsi="Consolas" w:cs="Consolas"/>
          <w:color w:val="1F6F65"/>
          <w:sz w:val="19"/>
          <w:szCs w:val="19"/>
        </w:rPr>
        <w:t>Warehouse_ID</w:t>
      </w:r>
      <w:proofErr w:type="spellEnd"/>
    </w:p>
    <w:p w14:paraId="5ECFFF18" w14:textId="77777777" w:rsidR="00CC032C" w:rsidRDefault="00000000">
      <w:pPr>
        <w:spacing w:after="120"/>
      </w:pPr>
      <w:r>
        <w:t>Same calculation and interpretation as described in Section 5.1, shown here broken down by individual warehouse (WH_1 - WH_4) for operational comparison.</w:t>
      </w:r>
    </w:p>
    <w:p w14:paraId="6C7A3613" w14:textId="77777777" w:rsidR="00CC032C" w:rsidRDefault="00000000">
      <w:pPr>
        <w:spacing w:before="200" w:after="80"/>
      </w:pPr>
      <w:r>
        <w:rPr>
          <w:b/>
          <w:bCs/>
          <w:color w:val="2E8B7F"/>
          <w:sz w:val="23"/>
          <w:szCs w:val="23"/>
        </w:rPr>
        <w:t>Inventory Level (trend)</w:t>
      </w:r>
    </w:p>
    <w:p w14:paraId="2779687F" w14:textId="77777777" w:rsidR="00CC032C" w:rsidRDefault="00000000">
      <w:pPr>
        <w:shd w:val="clear" w:color="auto" w:fill="F2F2F2"/>
        <w:spacing w:before="80" w:after="80"/>
        <w:ind w:left="360"/>
      </w:pPr>
      <w:r>
        <w:rPr>
          <w:rFonts w:ascii="Consolas" w:eastAsia="Consolas" w:hAnsi="Consolas" w:cs="Consolas"/>
          <w:color w:val="1F6F65"/>
          <w:sz w:val="19"/>
          <w:szCs w:val="19"/>
        </w:rPr>
        <w:t>AVERAGE(</w:t>
      </w:r>
      <w:proofErr w:type="spellStart"/>
      <w:r>
        <w:rPr>
          <w:rFonts w:ascii="Consolas" w:eastAsia="Consolas" w:hAnsi="Consolas" w:cs="Consolas"/>
          <w:color w:val="1F6F65"/>
          <w:sz w:val="19"/>
          <w:szCs w:val="19"/>
        </w:rPr>
        <w:t>Inventory_Level</w:t>
      </w:r>
      <w:proofErr w:type="spellEnd"/>
      <w:r>
        <w:rPr>
          <w:rFonts w:ascii="Consolas" w:eastAsia="Consolas" w:hAnsi="Consolas" w:cs="Consolas"/>
          <w:color w:val="1F6F65"/>
          <w:sz w:val="19"/>
          <w:szCs w:val="19"/>
        </w:rPr>
        <w:t>) — by Month/Year</w:t>
      </w:r>
    </w:p>
    <w:p w14:paraId="77AA91B2" w14:textId="77777777" w:rsidR="00CC032C" w:rsidRDefault="00000000">
      <w:pPr>
        <w:spacing w:after="120"/>
      </w:pPr>
      <w:r>
        <w:lastRenderedPageBreak/>
        <w:t>Average daily inventory on hand across the dataset period, showing how stock levels fluctuated over the two years.</w:t>
      </w:r>
    </w:p>
    <w:p w14:paraId="65A45764" w14:textId="77777777" w:rsidR="00CC032C" w:rsidRDefault="00000000">
      <w:pPr>
        <w:pStyle w:val="Heading2"/>
      </w:pPr>
      <w:r>
        <w:t>5.3 Sales &amp; Profits</w:t>
      </w:r>
    </w:p>
    <w:p w14:paraId="6CB98FBC" w14:textId="77777777" w:rsidR="00CC032C" w:rsidRDefault="00000000">
      <w:pPr>
        <w:spacing w:before="200" w:after="80"/>
      </w:pPr>
      <w:r>
        <w:rPr>
          <w:b/>
          <w:bCs/>
          <w:color w:val="2E8B7F"/>
          <w:sz w:val="23"/>
          <w:szCs w:val="23"/>
        </w:rPr>
        <w:t>Profits (Total Net Profit)</w:t>
      </w:r>
    </w:p>
    <w:p w14:paraId="7D05D9D4" w14:textId="77777777" w:rsidR="006E750F" w:rsidRDefault="00000000">
      <w:pPr>
        <w:shd w:val="clear" w:color="auto" w:fill="F2F2F2"/>
        <w:spacing w:before="80" w:after="80"/>
        <w:ind w:left="360"/>
        <w:rPr>
          <w:rFonts w:ascii="Consolas" w:eastAsia="Consolas" w:hAnsi="Consolas" w:cs="Consolas"/>
          <w:color w:val="1F6F65"/>
          <w:sz w:val="19"/>
          <w:szCs w:val="19"/>
        </w:rPr>
      </w:pPr>
      <w:proofErr w:type="spellStart"/>
      <w:r>
        <w:rPr>
          <w:rFonts w:ascii="Consolas" w:eastAsia="Consolas" w:hAnsi="Consolas" w:cs="Consolas"/>
          <w:color w:val="1F6F65"/>
          <w:sz w:val="19"/>
          <w:szCs w:val="19"/>
        </w:rPr>
        <w:t>Total_Net_Profit</w:t>
      </w:r>
      <w:proofErr w:type="spellEnd"/>
      <w:r>
        <w:rPr>
          <w:rFonts w:ascii="Consolas" w:eastAsia="Consolas" w:hAnsi="Consolas" w:cs="Consolas"/>
          <w:color w:val="1F6F65"/>
          <w:sz w:val="19"/>
          <w:szCs w:val="19"/>
        </w:rPr>
        <w:t xml:space="preserve"> = SUM(</w:t>
      </w: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w:t>
      </w:r>
    </w:p>
    <w:p w14:paraId="25CC1B88" w14:textId="64828995" w:rsidR="00CC032C" w:rsidRDefault="00000000">
      <w:pPr>
        <w:shd w:val="clear" w:color="auto" w:fill="F2F2F2"/>
        <w:spacing w:before="80" w:after="80"/>
        <w:ind w:left="360"/>
      </w:pP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 xml:space="preserve"> = Revenue - COGS - </w:t>
      </w:r>
      <w:proofErr w:type="spellStart"/>
      <w:r>
        <w:rPr>
          <w:rFonts w:ascii="Consolas" w:eastAsia="Consolas" w:hAnsi="Consolas" w:cs="Consolas"/>
          <w:color w:val="1F6F65"/>
          <w:sz w:val="19"/>
          <w:szCs w:val="19"/>
        </w:rPr>
        <w:t>Shipping_Cost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Tariff_Amount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Marketing_Spend</w:t>
      </w:r>
      <w:proofErr w:type="spellEnd"/>
    </w:p>
    <w:p w14:paraId="2248EA2E" w14:textId="77777777" w:rsidR="00CC032C" w:rsidRDefault="00000000">
      <w:pPr>
        <w:spacing w:after="120"/>
      </w:pPr>
      <w:r>
        <w:t>Total bottom-line profit after deducting all identified costs — cost of goods sold, shipping, tariff, and marketing spend — from revenue. Represents the true profitability of delivered orders rather than gross margin alone.</w:t>
      </w:r>
    </w:p>
    <w:p w14:paraId="624C9BE9" w14:textId="77777777" w:rsidR="00CC032C" w:rsidRDefault="00000000">
      <w:pPr>
        <w:spacing w:before="200" w:after="80"/>
      </w:pPr>
      <w:r>
        <w:rPr>
          <w:b/>
          <w:bCs/>
          <w:color w:val="2E8B7F"/>
          <w:sz w:val="23"/>
          <w:szCs w:val="23"/>
        </w:rPr>
        <w:t>Revenue</w:t>
      </w:r>
    </w:p>
    <w:p w14:paraId="30061223" w14:textId="77777777" w:rsidR="00CC032C" w:rsidRDefault="00000000">
      <w:pPr>
        <w:shd w:val="clear" w:color="auto" w:fill="F2F2F2"/>
        <w:spacing w:before="80" w:after="80"/>
        <w:ind w:left="360"/>
      </w:pPr>
      <w:r>
        <w:rPr>
          <w:rFonts w:ascii="Consolas" w:eastAsia="Consolas" w:hAnsi="Consolas" w:cs="Consolas"/>
          <w:color w:val="1F6F65"/>
          <w:sz w:val="19"/>
          <w:szCs w:val="19"/>
        </w:rPr>
        <w:t xml:space="preserve">Revenue = </w:t>
      </w:r>
      <w:proofErr w:type="spellStart"/>
      <w:r>
        <w:rPr>
          <w:rFonts w:ascii="Consolas" w:eastAsia="Consolas" w:hAnsi="Consolas" w:cs="Consolas"/>
          <w:color w:val="1F6F65"/>
          <w:sz w:val="19"/>
          <w:szCs w:val="19"/>
        </w:rPr>
        <w:t>Product_Price</w:t>
      </w:r>
      <w:proofErr w:type="spellEnd"/>
      <w:r>
        <w:rPr>
          <w:rFonts w:ascii="Consolas" w:eastAsia="Consolas" w:hAnsi="Consolas" w:cs="Consolas"/>
          <w:color w:val="1F6F65"/>
          <w:sz w:val="19"/>
          <w:szCs w:val="19"/>
        </w:rPr>
        <w:t xml:space="preserve"> x (1 - </w:t>
      </w:r>
      <w:proofErr w:type="spellStart"/>
      <w:r>
        <w:rPr>
          <w:rFonts w:ascii="Consolas" w:eastAsia="Consolas" w:hAnsi="Consolas" w:cs="Consolas"/>
          <w:color w:val="1F6F65"/>
          <w:sz w:val="19"/>
          <w:szCs w:val="19"/>
        </w:rPr>
        <w:t>Discount_Rate</w:t>
      </w:r>
      <w:proofErr w:type="spellEnd"/>
      <w:r>
        <w:rPr>
          <w:rFonts w:ascii="Consolas" w:eastAsia="Consolas" w:hAnsi="Consolas" w:cs="Consolas"/>
          <w:color w:val="1F6F65"/>
          <w:sz w:val="19"/>
          <w:szCs w:val="19"/>
        </w:rPr>
        <w:t xml:space="preserve">) x </w:t>
      </w:r>
      <w:proofErr w:type="spellStart"/>
      <w:r>
        <w:rPr>
          <w:rFonts w:ascii="Consolas" w:eastAsia="Consolas" w:hAnsi="Consolas" w:cs="Consolas"/>
          <w:color w:val="1F6F65"/>
          <w:sz w:val="19"/>
          <w:szCs w:val="19"/>
        </w:rPr>
        <w:t>Historical_Sales</w:t>
      </w:r>
      <w:proofErr w:type="spellEnd"/>
    </w:p>
    <w:p w14:paraId="73F2900B" w14:textId="77777777" w:rsidR="00CC032C" w:rsidRDefault="00000000">
      <w:pPr>
        <w:spacing w:after="120"/>
      </w:pPr>
      <w:r>
        <w:t xml:space="preserve">Total income generated from units sold, calculated using the actual discounted selling price rather than list price, to reflect what customers were </w:t>
      </w:r>
      <w:proofErr w:type="gramStart"/>
      <w:r>
        <w:t>actually charged</w:t>
      </w:r>
      <w:proofErr w:type="gramEnd"/>
      <w:r>
        <w:t>.</w:t>
      </w:r>
    </w:p>
    <w:p w14:paraId="3B8CF334" w14:textId="77777777" w:rsidR="00CC032C" w:rsidRDefault="00000000">
      <w:pPr>
        <w:spacing w:before="200" w:after="80"/>
      </w:pPr>
      <w:r>
        <w:rPr>
          <w:b/>
          <w:bCs/>
          <w:color w:val="2E8B7F"/>
          <w:sz w:val="23"/>
          <w:szCs w:val="23"/>
        </w:rPr>
        <w:t>Profit Margin</w:t>
      </w:r>
    </w:p>
    <w:p w14:paraId="295AD973"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Net_Profit_Margin</w:t>
      </w:r>
      <w:proofErr w:type="spellEnd"/>
      <w:r>
        <w:rPr>
          <w:rFonts w:ascii="Consolas" w:eastAsia="Consolas" w:hAnsi="Consolas" w:cs="Consolas"/>
          <w:color w:val="1F6F65"/>
          <w:sz w:val="19"/>
          <w:szCs w:val="19"/>
        </w:rPr>
        <w:t>% = SUM(</w:t>
      </w: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 / SUM(Revenue) x 100</w:t>
      </w:r>
    </w:p>
    <w:p w14:paraId="1D54D62A" w14:textId="77777777" w:rsidR="00CC032C" w:rsidRDefault="00000000">
      <w:pPr>
        <w:spacing w:after="120"/>
      </w:pPr>
      <w:r>
        <w:t>Same calculation as shown in Section 5.1, used here alongside the full profitability breakdown for the Sales &amp; Profits page.</w:t>
      </w:r>
    </w:p>
    <w:p w14:paraId="5AA8C460" w14:textId="77777777" w:rsidR="00CC032C" w:rsidRDefault="00000000">
      <w:pPr>
        <w:spacing w:before="200" w:after="80"/>
      </w:pPr>
      <w:r>
        <w:rPr>
          <w:b/>
          <w:bCs/>
          <w:color w:val="2E8B7F"/>
          <w:sz w:val="23"/>
          <w:szCs w:val="23"/>
        </w:rPr>
        <w:t>Average Profit / Unit</w:t>
      </w:r>
    </w:p>
    <w:p w14:paraId="32F606FD" w14:textId="77777777" w:rsidR="006E750F" w:rsidRDefault="00000000">
      <w:pPr>
        <w:shd w:val="clear" w:color="auto" w:fill="F2F2F2"/>
        <w:spacing w:before="80" w:after="80"/>
        <w:ind w:left="360"/>
        <w:rPr>
          <w:rFonts w:ascii="Consolas" w:eastAsia="Consolas" w:hAnsi="Consolas" w:cs="Consolas"/>
          <w:color w:val="1F6F65"/>
          <w:sz w:val="19"/>
          <w:szCs w:val="19"/>
        </w:rPr>
      </w:pPr>
      <w:proofErr w:type="spellStart"/>
      <w:r>
        <w:rPr>
          <w:rFonts w:ascii="Consolas" w:eastAsia="Consolas" w:hAnsi="Consolas" w:cs="Consolas"/>
          <w:color w:val="1F6F65"/>
          <w:sz w:val="19"/>
          <w:szCs w:val="19"/>
        </w:rPr>
        <w:t>Avg_Gross_Profit_Per_Unit</w:t>
      </w:r>
      <w:proofErr w:type="spellEnd"/>
      <w:r>
        <w:rPr>
          <w:rFonts w:ascii="Consolas" w:eastAsia="Consolas" w:hAnsi="Consolas" w:cs="Consolas"/>
          <w:color w:val="1F6F65"/>
          <w:sz w:val="19"/>
          <w:szCs w:val="19"/>
        </w:rPr>
        <w:t xml:space="preserve"> = AVERAGE(</w:t>
      </w:r>
      <w:proofErr w:type="spellStart"/>
      <w:r>
        <w:rPr>
          <w:rFonts w:ascii="Consolas" w:eastAsia="Consolas" w:hAnsi="Consolas" w:cs="Consolas"/>
          <w:color w:val="1F6F65"/>
          <w:sz w:val="19"/>
          <w:szCs w:val="19"/>
        </w:rPr>
        <w:t>Gross_Profit_Per_Unit</w:t>
      </w:r>
      <w:proofErr w:type="spellEnd"/>
      <w:r>
        <w:rPr>
          <w:rFonts w:ascii="Consolas" w:eastAsia="Consolas" w:hAnsi="Consolas" w:cs="Consolas"/>
          <w:color w:val="1F6F65"/>
          <w:sz w:val="19"/>
          <w:szCs w:val="19"/>
        </w:rPr>
        <w:t xml:space="preserve">) </w:t>
      </w:r>
    </w:p>
    <w:p w14:paraId="17827CC8" w14:textId="7EE504CC" w:rsidR="00CC032C" w:rsidRDefault="00000000">
      <w:pPr>
        <w:shd w:val="clear" w:color="auto" w:fill="F2F2F2"/>
        <w:spacing w:before="80" w:after="80"/>
        <w:ind w:left="360"/>
      </w:pPr>
      <w:proofErr w:type="spellStart"/>
      <w:r>
        <w:rPr>
          <w:rFonts w:ascii="Consolas" w:eastAsia="Consolas" w:hAnsi="Consolas" w:cs="Consolas"/>
          <w:color w:val="1F6F65"/>
          <w:sz w:val="19"/>
          <w:szCs w:val="19"/>
        </w:rPr>
        <w:t>Gross_Profit_Per_Unit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Product_Price</w:t>
      </w:r>
      <w:proofErr w:type="spellEnd"/>
      <w:r>
        <w:rPr>
          <w:rFonts w:ascii="Consolas" w:eastAsia="Consolas" w:hAnsi="Consolas" w:cs="Consolas"/>
          <w:color w:val="1F6F65"/>
          <w:sz w:val="19"/>
          <w:szCs w:val="19"/>
        </w:rPr>
        <w:t xml:space="preserve"> x (1 - </w:t>
      </w:r>
      <w:proofErr w:type="spellStart"/>
      <w:r>
        <w:rPr>
          <w:rFonts w:ascii="Consolas" w:eastAsia="Consolas" w:hAnsi="Consolas" w:cs="Consolas"/>
          <w:color w:val="1F6F65"/>
          <w:sz w:val="19"/>
          <w:szCs w:val="19"/>
        </w:rPr>
        <w:t>Discount_Rate</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Landed_Cost</w:t>
      </w:r>
      <w:proofErr w:type="spellEnd"/>
    </w:p>
    <w:p w14:paraId="03F9B956" w14:textId="77777777" w:rsidR="00CC032C" w:rsidRDefault="00000000">
      <w:pPr>
        <w:spacing w:after="120"/>
      </w:pPr>
      <w:r>
        <w:t>Average profit earned on a single unit after accounting for the true landed cost of delivering that unit (cost price, shipping, tariff, and marketing cost per unit — see Landed Cost in Section 5.4). Used to assess unit-level pricing health independent of total sales volume.</w:t>
      </w:r>
    </w:p>
    <w:p w14:paraId="1E47BFF5" w14:textId="77777777" w:rsidR="00CC032C" w:rsidRDefault="00000000">
      <w:pPr>
        <w:spacing w:before="200" w:after="80"/>
      </w:pPr>
      <w:r>
        <w:rPr>
          <w:b/>
          <w:bCs/>
          <w:color w:val="2E8B7F"/>
          <w:sz w:val="23"/>
          <w:szCs w:val="23"/>
        </w:rPr>
        <w:t>Marketing Spend</w:t>
      </w:r>
    </w:p>
    <w:p w14:paraId="419BD7D2"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Marketing_Spend</w:t>
      </w:r>
      <w:proofErr w:type="spellEnd"/>
      <w:r>
        <w:rPr>
          <w:rFonts w:ascii="Consolas" w:eastAsia="Consolas" w:hAnsi="Consolas" w:cs="Consolas"/>
          <w:color w:val="1F6F65"/>
          <w:sz w:val="19"/>
          <w:szCs w:val="19"/>
        </w:rPr>
        <w:t>) — grouped by Country</w:t>
      </w:r>
    </w:p>
    <w:p w14:paraId="12B36783" w14:textId="77777777" w:rsidR="00CC032C" w:rsidRDefault="00000000">
      <w:pPr>
        <w:spacing w:after="120"/>
      </w:pPr>
      <w:r>
        <w:t>Total promotional spend by country, used to compare marketing investment levels across cross-border markets.</w:t>
      </w:r>
    </w:p>
    <w:p w14:paraId="0796C65D" w14:textId="77777777" w:rsidR="00CC032C" w:rsidRDefault="00000000">
      <w:pPr>
        <w:spacing w:before="200" w:after="80"/>
      </w:pPr>
      <w:r>
        <w:rPr>
          <w:b/>
          <w:bCs/>
          <w:color w:val="2E8B7F"/>
          <w:sz w:val="23"/>
          <w:szCs w:val="23"/>
        </w:rPr>
        <w:t xml:space="preserve">Net Profit vs Revenue by </w:t>
      </w:r>
      <w:proofErr w:type="spellStart"/>
      <w:r>
        <w:rPr>
          <w:b/>
          <w:bCs/>
          <w:color w:val="2E8B7F"/>
          <w:sz w:val="23"/>
          <w:szCs w:val="23"/>
        </w:rPr>
        <w:t>Product_Category</w:t>
      </w:r>
      <w:proofErr w:type="spellEnd"/>
    </w:p>
    <w:p w14:paraId="3E4492FC"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 xml:space="preserve">), SUM(Revenue) — grouped by </w:t>
      </w:r>
      <w:proofErr w:type="spellStart"/>
      <w:r>
        <w:rPr>
          <w:rFonts w:ascii="Consolas" w:eastAsia="Consolas" w:hAnsi="Consolas" w:cs="Consolas"/>
          <w:color w:val="1F6F65"/>
          <w:sz w:val="19"/>
          <w:szCs w:val="19"/>
        </w:rPr>
        <w:t>Product_Category</w:t>
      </w:r>
      <w:proofErr w:type="spellEnd"/>
    </w:p>
    <w:p w14:paraId="67C7A609" w14:textId="77777777" w:rsidR="00CC032C" w:rsidRDefault="00000000">
      <w:pPr>
        <w:spacing w:after="120"/>
      </w:pPr>
      <w:r>
        <w:t>Same calculation as shown in Section 5.1, repeated here for category-level profitability comparison alongside the page's other profit and revenue visuals.</w:t>
      </w:r>
    </w:p>
    <w:p w14:paraId="713994F6" w14:textId="77777777" w:rsidR="00CC032C" w:rsidRDefault="00000000">
      <w:pPr>
        <w:spacing w:before="200" w:after="80"/>
      </w:pPr>
      <w:r>
        <w:rPr>
          <w:b/>
          <w:bCs/>
          <w:color w:val="2E8B7F"/>
          <w:sz w:val="23"/>
          <w:szCs w:val="23"/>
        </w:rPr>
        <w:t>Historical Sales (trend)</w:t>
      </w:r>
    </w:p>
    <w:p w14:paraId="49149E92"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Historical_Sales</w:t>
      </w:r>
      <w:proofErr w:type="spellEnd"/>
      <w:r>
        <w:rPr>
          <w:rFonts w:ascii="Consolas" w:eastAsia="Consolas" w:hAnsi="Consolas" w:cs="Consolas"/>
          <w:color w:val="1F6F65"/>
          <w:sz w:val="19"/>
          <w:szCs w:val="19"/>
        </w:rPr>
        <w:t>) — by Month/Year</w:t>
      </w:r>
    </w:p>
    <w:p w14:paraId="371434F6" w14:textId="77777777" w:rsidR="00CC032C" w:rsidRDefault="00000000">
      <w:pPr>
        <w:spacing w:after="120"/>
      </w:pPr>
      <w:r>
        <w:t>Same calculation as shown in Section 5.1, showing overall demand trend and seasonality across the two-year period.</w:t>
      </w:r>
    </w:p>
    <w:p w14:paraId="1D4086C1" w14:textId="77777777" w:rsidR="00CC032C" w:rsidRDefault="00000000">
      <w:pPr>
        <w:spacing w:before="200" w:after="80"/>
      </w:pPr>
      <w:r>
        <w:rPr>
          <w:b/>
          <w:bCs/>
          <w:color w:val="2E8B7F"/>
          <w:sz w:val="23"/>
          <w:szCs w:val="23"/>
        </w:rPr>
        <w:t>Net Profit by Country</w:t>
      </w:r>
    </w:p>
    <w:p w14:paraId="4F7E553B"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Net_Profit</w:t>
      </w:r>
      <w:proofErr w:type="spellEnd"/>
      <w:r>
        <w:rPr>
          <w:rFonts w:ascii="Consolas" w:eastAsia="Consolas" w:hAnsi="Consolas" w:cs="Consolas"/>
          <w:color w:val="1F6F65"/>
          <w:sz w:val="19"/>
          <w:szCs w:val="19"/>
        </w:rPr>
        <w:t>) — grouped by Country</w:t>
      </w:r>
    </w:p>
    <w:p w14:paraId="3C989E56" w14:textId="77777777" w:rsidR="00CC032C" w:rsidRDefault="00000000">
      <w:pPr>
        <w:spacing w:after="120"/>
      </w:pPr>
      <w:r>
        <w:t>Total profit generated by country, used to identify which cross-border markets are most profitable once all costs are accounted for.</w:t>
      </w:r>
    </w:p>
    <w:p w14:paraId="45FF2448" w14:textId="77777777" w:rsidR="00CC032C" w:rsidRDefault="00000000">
      <w:pPr>
        <w:pStyle w:val="Heading2"/>
      </w:pPr>
      <w:r>
        <w:lastRenderedPageBreak/>
        <w:t>5.4 Logistic Overview</w:t>
      </w:r>
    </w:p>
    <w:p w14:paraId="681FAC3B" w14:textId="77777777" w:rsidR="00CC032C" w:rsidRDefault="00000000">
      <w:pPr>
        <w:spacing w:before="200" w:after="80"/>
      </w:pPr>
      <w:r>
        <w:rPr>
          <w:b/>
          <w:bCs/>
          <w:color w:val="2E8B7F"/>
          <w:sz w:val="23"/>
          <w:szCs w:val="23"/>
        </w:rPr>
        <w:t>Lead Time in Days</w:t>
      </w:r>
    </w:p>
    <w:p w14:paraId="221F379D"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Avg_Lead_Time_Days</w:t>
      </w:r>
      <w:proofErr w:type="spellEnd"/>
      <w:r>
        <w:rPr>
          <w:rFonts w:ascii="Consolas" w:eastAsia="Consolas" w:hAnsi="Consolas" w:cs="Consolas"/>
          <w:color w:val="1F6F65"/>
          <w:sz w:val="19"/>
          <w:szCs w:val="19"/>
        </w:rPr>
        <w:t xml:space="preserve"> = AVERAGE(</w:t>
      </w:r>
      <w:proofErr w:type="spellStart"/>
      <w:r>
        <w:rPr>
          <w:rFonts w:ascii="Consolas" w:eastAsia="Consolas" w:hAnsi="Consolas" w:cs="Consolas"/>
          <w:color w:val="1F6F65"/>
          <w:sz w:val="19"/>
          <w:szCs w:val="19"/>
        </w:rPr>
        <w:t>Lead_Time_Days</w:t>
      </w:r>
      <w:proofErr w:type="spellEnd"/>
      <w:r>
        <w:rPr>
          <w:rFonts w:ascii="Consolas" w:eastAsia="Consolas" w:hAnsi="Consolas" w:cs="Consolas"/>
          <w:color w:val="1F6F65"/>
          <w:sz w:val="19"/>
          <w:szCs w:val="19"/>
        </w:rPr>
        <w:t>)</w:t>
      </w:r>
    </w:p>
    <w:p w14:paraId="22A55642" w14:textId="21D24AB4" w:rsidR="00CC032C" w:rsidRDefault="00000000">
      <w:pPr>
        <w:spacing w:after="120"/>
      </w:pPr>
      <w:r>
        <w:t xml:space="preserve">Same calculation as shown in Section 5.1, used here as the primary </w:t>
      </w:r>
      <w:proofErr w:type="spellStart"/>
      <w:r>
        <w:t>fulfillment</w:t>
      </w:r>
      <w:proofErr w:type="spellEnd"/>
      <w:r>
        <w:t xml:space="preserve">-speed metric for the </w:t>
      </w:r>
      <w:r w:rsidR="006E750F">
        <w:t>logistics</w:t>
      </w:r>
      <w:r>
        <w:t xml:space="preserve"> page.</w:t>
      </w:r>
    </w:p>
    <w:p w14:paraId="3BEADBBF" w14:textId="77777777" w:rsidR="00CC032C" w:rsidRDefault="00000000">
      <w:pPr>
        <w:spacing w:before="200" w:after="80"/>
      </w:pPr>
      <w:proofErr w:type="spellStart"/>
      <w:r>
        <w:rPr>
          <w:b/>
          <w:bCs/>
          <w:color w:val="2E8B7F"/>
          <w:sz w:val="23"/>
          <w:szCs w:val="23"/>
        </w:rPr>
        <w:t>Avg</w:t>
      </w:r>
      <w:proofErr w:type="spellEnd"/>
      <w:r>
        <w:rPr>
          <w:b/>
          <w:bCs/>
          <w:color w:val="2E8B7F"/>
          <w:sz w:val="23"/>
          <w:szCs w:val="23"/>
        </w:rPr>
        <w:t xml:space="preserve"> Shipping Cost</w:t>
      </w:r>
    </w:p>
    <w:p w14:paraId="3BFD09F3"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Avg_Shipping_Cost</w:t>
      </w:r>
      <w:proofErr w:type="spellEnd"/>
      <w:r>
        <w:rPr>
          <w:rFonts w:ascii="Consolas" w:eastAsia="Consolas" w:hAnsi="Consolas" w:cs="Consolas"/>
          <w:color w:val="1F6F65"/>
          <w:sz w:val="19"/>
          <w:szCs w:val="19"/>
        </w:rPr>
        <w:t xml:space="preserve"> = AVERAGE(</w:t>
      </w:r>
      <w:proofErr w:type="spellStart"/>
      <w:r>
        <w:rPr>
          <w:rFonts w:ascii="Consolas" w:eastAsia="Consolas" w:hAnsi="Consolas" w:cs="Consolas"/>
          <w:color w:val="1F6F65"/>
          <w:sz w:val="19"/>
          <w:szCs w:val="19"/>
        </w:rPr>
        <w:t>Shipping_Cost</w:t>
      </w:r>
      <w:proofErr w:type="spellEnd"/>
      <w:r>
        <w:rPr>
          <w:rFonts w:ascii="Consolas" w:eastAsia="Consolas" w:hAnsi="Consolas" w:cs="Consolas"/>
          <w:color w:val="1F6F65"/>
          <w:sz w:val="19"/>
          <w:szCs w:val="19"/>
        </w:rPr>
        <w:t>)</w:t>
      </w:r>
    </w:p>
    <w:p w14:paraId="757387C4" w14:textId="77777777" w:rsidR="00CC032C" w:rsidRDefault="00000000">
      <w:pPr>
        <w:spacing w:after="120"/>
      </w:pPr>
      <w:r>
        <w:t>Average shipping cost per shipment record across the full network, used as an overall logistics cost headline figure.</w:t>
      </w:r>
    </w:p>
    <w:p w14:paraId="6C2C57E5" w14:textId="77777777" w:rsidR="00CC032C" w:rsidRDefault="00000000">
      <w:pPr>
        <w:spacing w:before="200" w:after="80"/>
      </w:pPr>
      <w:r>
        <w:rPr>
          <w:b/>
          <w:bCs/>
          <w:color w:val="2E8B7F"/>
          <w:sz w:val="23"/>
          <w:szCs w:val="23"/>
        </w:rPr>
        <w:t>Carbon Emission</w:t>
      </w:r>
    </w:p>
    <w:p w14:paraId="7C34E965" w14:textId="77777777" w:rsidR="00CC032C" w:rsidRDefault="00000000">
      <w:pPr>
        <w:shd w:val="clear" w:color="auto" w:fill="F2F2F2"/>
        <w:spacing w:before="80" w:after="80"/>
        <w:ind w:left="360"/>
      </w:pPr>
      <w:r>
        <w:rPr>
          <w:rFonts w:ascii="Consolas" w:eastAsia="Consolas" w:hAnsi="Consolas" w:cs="Consolas"/>
          <w:color w:val="1F6F65"/>
          <w:sz w:val="19"/>
          <w:szCs w:val="19"/>
        </w:rPr>
        <w:t>SUM(</w:t>
      </w:r>
      <w:proofErr w:type="spellStart"/>
      <w:r>
        <w:rPr>
          <w:rFonts w:ascii="Consolas" w:eastAsia="Consolas" w:hAnsi="Consolas" w:cs="Consolas"/>
          <w:color w:val="1F6F65"/>
          <w:sz w:val="19"/>
          <w:szCs w:val="19"/>
        </w:rPr>
        <w:t>Carbon_Emission</w:t>
      </w:r>
      <w:proofErr w:type="spellEnd"/>
      <w:r>
        <w:rPr>
          <w:rFonts w:ascii="Consolas" w:eastAsia="Consolas" w:hAnsi="Consolas" w:cs="Consolas"/>
          <w:color w:val="1F6F65"/>
          <w:sz w:val="19"/>
          <w:szCs w:val="19"/>
        </w:rPr>
        <w:t>) or AVERAGE(</w:t>
      </w:r>
      <w:proofErr w:type="spellStart"/>
      <w:r>
        <w:rPr>
          <w:rFonts w:ascii="Consolas" w:eastAsia="Consolas" w:hAnsi="Consolas" w:cs="Consolas"/>
          <w:color w:val="1F6F65"/>
          <w:sz w:val="19"/>
          <w:szCs w:val="19"/>
        </w:rPr>
        <w:t>Carbon_Emission</w:t>
      </w:r>
      <w:proofErr w:type="spellEnd"/>
      <w:r>
        <w:rPr>
          <w:rFonts w:ascii="Consolas" w:eastAsia="Consolas" w:hAnsi="Consolas" w:cs="Consolas"/>
          <w:color w:val="1F6F65"/>
          <w:sz w:val="19"/>
          <w:szCs w:val="19"/>
        </w:rPr>
        <w:t xml:space="preserve">) — grouped by </w:t>
      </w:r>
      <w:proofErr w:type="spellStart"/>
      <w:r>
        <w:rPr>
          <w:rFonts w:ascii="Consolas" w:eastAsia="Consolas" w:hAnsi="Consolas" w:cs="Consolas"/>
          <w:color w:val="1F6F65"/>
          <w:sz w:val="19"/>
          <w:szCs w:val="19"/>
        </w:rPr>
        <w:t>Shipping_Mode</w:t>
      </w:r>
      <w:proofErr w:type="spellEnd"/>
    </w:p>
    <w:p w14:paraId="14EAB59D" w14:textId="77777777" w:rsidR="00CC032C" w:rsidRDefault="00000000">
      <w:pPr>
        <w:spacing w:after="120"/>
      </w:pPr>
      <w:r>
        <w:t xml:space="preserve">Estimated carbon emission associated with shipments, compared by shipping mode (Air, Ground, Sea) to highlight the environmental cost </w:t>
      </w:r>
      <w:proofErr w:type="spellStart"/>
      <w:r>
        <w:t>tradeoff</w:t>
      </w:r>
      <w:proofErr w:type="spellEnd"/>
      <w:r>
        <w:t xml:space="preserve"> of faster shipping methods.</w:t>
      </w:r>
    </w:p>
    <w:p w14:paraId="0B460D7F" w14:textId="77777777" w:rsidR="00CC032C" w:rsidRDefault="00000000">
      <w:pPr>
        <w:spacing w:before="200" w:after="80"/>
      </w:pPr>
      <w:proofErr w:type="spellStart"/>
      <w:r>
        <w:rPr>
          <w:b/>
          <w:bCs/>
          <w:color w:val="2E8B7F"/>
          <w:sz w:val="23"/>
          <w:szCs w:val="23"/>
        </w:rPr>
        <w:t>Avg</w:t>
      </w:r>
      <w:proofErr w:type="spellEnd"/>
      <w:r>
        <w:rPr>
          <w:b/>
          <w:bCs/>
          <w:color w:val="2E8B7F"/>
          <w:sz w:val="23"/>
          <w:szCs w:val="23"/>
        </w:rPr>
        <w:t xml:space="preserve"> Tariff Amt / Unit</w:t>
      </w:r>
    </w:p>
    <w:p w14:paraId="5DBAE739" w14:textId="77777777" w:rsidR="006E750F" w:rsidRDefault="00000000">
      <w:pPr>
        <w:shd w:val="clear" w:color="auto" w:fill="F2F2F2"/>
        <w:spacing w:before="80" w:after="80"/>
        <w:ind w:left="360"/>
        <w:rPr>
          <w:rFonts w:ascii="Consolas" w:eastAsia="Consolas" w:hAnsi="Consolas" w:cs="Consolas"/>
          <w:color w:val="1F6F65"/>
          <w:sz w:val="19"/>
          <w:szCs w:val="19"/>
        </w:rPr>
      </w:pPr>
      <w:proofErr w:type="spellStart"/>
      <w:r>
        <w:rPr>
          <w:rFonts w:ascii="Consolas" w:eastAsia="Consolas" w:hAnsi="Consolas" w:cs="Consolas"/>
          <w:color w:val="1F6F65"/>
          <w:sz w:val="19"/>
          <w:szCs w:val="19"/>
        </w:rPr>
        <w:t>Tariff_Amount_Per_Unit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Cost_Price</w:t>
      </w:r>
      <w:proofErr w:type="spellEnd"/>
      <w:r>
        <w:rPr>
          <w:rFonts w:ascii="Consolas" w:eastAsia="Consolas" w:hAnsi="Consolas" w:cs="Consolas"/>
          <w:color w:val="1F6F65"/>
          <w:sz w:val="19"/>
          <w:szCs w:val="19"/>
        </w:rPr>
        <w:t xml:space="preserve"> x </w:t>
      </w:r>
      <w:proofErr w:type="spellStart"/>
      <w:r>
        <w:rPr>
          <w:rFonts w:ascii="Consolas" w:eastAsia="Consolas" w:hAnsi="Consolas" w:cs="Consolas"/>
          <w:color w:val="1F6F65"/>
          <w:sz w:val="19"/>
          <w:szCs w:val="19"/>
        </w:rPr>
        <w:t>Tariff_Rate</w:t>
      </w:r>
      <w:proofErr w:type="spellEnd"/>
    </w:p>
    <w:p w14:paraId="1980833A" w14:textId="65613854" w:rsidR="00CC032C" w:rsidRDefault="00000000">
      <w:pPr>
        <w:shd w:val="clear" w:color="auto" w:fill="F2F2F2"/>
        <w:spacing w:before="80" w:after="80"/>
        <w:ind w:left="360"/>
      </w:pPr>
      <w:proofErr w:type="spellStart"/>
      <w:r>
        <w:rPr>
          <w:rFonts w:ascii="Consolas" w:eastAsia="Consolas" w:hAnsi="Consolas" w:cs="Consolas"/>
          <w:color w:val="1F6F65"/>
          <w:sz w:val="19"/>
          <w:szCs w:val="19"/>
        </w:rPr>
        <w:t>Cost_Price</w:t>
      </w:r>
      <w:proofErr w:type="spellEnd"/>
      <w:r>
        <w:rPr>
          <w:rFonts w:ascii="Consolas" w:eastAsia="Consolas" w:hAnsi="Consolas" w:cs="Consolas"/>
          <w:color w:val="1F6F65"/>
          <w:sz w:val="19"/>
          <w:szCs w:val="19"/>
        </w:rPr>
        <w:t xml:space="preserve"> = COGS / </w:t>
      </w:r>
      <w:proofErr w:type="spellStart"/>
      <w:r>
        <w:rPr>
          <w:rFonts w:ascii="Consolas" w:eastAsia="Consolas" w:hAnsi="Consolas" w:cs="Consolas"/>
          <w:color w:val="1F6F65"/>
          <w:sz w:val="19"/>
          <w:szCs w:val="19"/>
        </w:rPr>
        <w:t>Historical_Sales</w:t>
      </w:r>
      <w:proofErr w:type="spellEnd"/>
    </w:p>
    <w:p w14:paraId="7237037C" w14:textId="77777777" w:rsidR="00CC032C" w:rsidRDefault="00000000">
      <w:pPr>
        <w:spacing w:after="120"/>
      </w:pPr>
      <w:r>
        <w:t xml:space="preserve">Average import/export tariff cost incurred per unit, derived from the estimated unit cost price and the dataset's </w:t>
      </w:r>
      <w:proofErr w:type="spellStart"/>
      <w:r>
        <w:t>Tariff_Rate</w:t>
      </w:r>
      <w:proofErr w:type="spellEnd"/>
      <w:r>
        <w:t xml:space="preserve"> field. Used to quantify the cross-border tax burden separately from product and shipping cost.</w:t>
      </w:r>
    </w:p>
    <w:p w14:paraId="438DADD3" w14:textId="77777777" w:rsidR="00CC032C" w:rsidRDefault="00000000">
      <w:pPr>
        <w:spacing w:before="200" w:after="80"/>
      </w:pPr>
      <w:r>
        <w:rPr>
          <w:b/>
          <w:bCs/>
          <w:color w:val="2E8B7F"/>
          <w:sz w:val="23"/>
          <w:szCs w:val="23"/>
        </w:rPr>
        <w:t>On Time Delivery Rate</w:t>
      </w:r>
    </w:p>
    <w:p w14:paraId="2D524235"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OnTime_Delivery_Rate</w:t>
      </w:r>
      <w:proofErr w:type="spellEnd"/>
      <w:r>
        <w:rPr>
          <w:rFonts w:ascii="Consolas" w:eastAsia="Consolas" w:hAnsi="Consolas" w:cs="Consolas"/>
          <w:color w:val="1F6F65"/>
          <w:sz w:val="19"/>
          <w:szCs w:val="19"/>
        </w:rPr>
        <w:t xml:space="preserve">% = </w:t>
      </w:r>
      <w:proofErr w:type="gramStart"/>
      <w:r>
        <w:rPr>
          <w:rFonts w:ascii="Consolas" w:eastAsia="Consolas" w:hAnsi="Consolas" w:cs="Consolas"/>
          <w:color w:val="1F6F65"/>
          <w:sz w:val="19"/>
          <w:szCs w:val="19"/>
        </w:rPr>
        <w:t>COUNT(</w:t>
      </w:r>
      <w:proofErr w:type="spellStart"/>
      <w:proofErr w:type="gramEnd"/>
      <w:r>
        <w:rPr>
          <w:rFonts w:ascii="Consolas" w:eastAsia="Consolas" w:hAnsi="Consolas" w:cs="Consolas"/>
          <w:color w:val="1F6F65"/>
          <w:sz w:val="19"/>
          <w:szCs w:val="19"/>
        </w:rPr>
        <w:t>Delivery_Time_OnTime</w:t>
      </w:r>
      <w:proofErr w:type="spellEnd"/>
      <w:r>
        <w:rPr>
          <w:rFonts w:ascii="Consolas" w:eastAsia="Consolas" w:hAnsi="Consolas" w:cs="Consolas"/>
          <w:color w:val="1F6F65"/>
          <w:sz w:val="19"/>
          <w:szCs w:val="19"/>
        </w:rPr>
        <w:t xml:space="preserve"> = 1) / </w:t>
      </w:r>
      <w:proofErr w:type="gramStart"/>
      <w:r>
        <w:rPr>
          <w:rFonts w:ascii="Consolas" w:eastAsia="Consolas" w:hAnsi="Consolas" w:cs="Consolas"/>
          <w:color w:val="1F6F65"/>
          <w:sz w:val="19"/>
          <w:szCs w:val="19"/>
        </w:rPr>
        <w:t>COUNT(</w:t>
      </w:r>
      <w:proofErr w:type="gramEnd"/>
      <w:r>
        <w:rPr>
          <w:rFonts w:ascii="Consolas" w:eastAsia="Consolas" w:hAnsi="Consolas" w:cs="Consolas"/>
          <w:color w:val="1F6F65"/>
          <w:sz w:val="19"/>
          <w:szCs w:val="19"/>
        </w:rPr>
        <w:t>all rows) x 100</w:t>
      </w:r>
    </w:p>
    <w:p w14:paraId="47C2BAD4" w14:textId="77777777" w:rsidR="00CC032C" w:rsidRDefault="00000000">
      <w:pPr>
        <w:spacing w:after="120"/>
      </w:pPr>
      <w:r>
        <w:t xml:space="preserve">Same calculation as shown in Section 5.1, shown here as the primary </w:t>
      </w:r>
      <w:proofErr w:type="spellStart"/>
      <w:r>
        <w:t>fulfillment</w:t>
      </w:r>
      <w:proofErr w:type="spellEnd"/>
      <w:r>
        <w:t xml:space="preserve">-reliability gauge for the </w:t>
      </w:r>
      <w:proofErr w:type="gramStart"/>
      <w:r>
        <w:t>Logistics</w:t>
      </w:r>
      <w:proofErr w:type="gramEnd"/>
      <w:r>
        <w:t xml:space="preserve"> page.</w:t>
      </w:r>
    </w:p>
    <w:p w14:paraId="14862D1C" w14:textId="77777777" w:rsidR="00CC032C" w:rsidRDefault="00000000">
      <w:pPr>
        <w:spacing w:before="200" w:after="80"/>
      </w:pPr>
      <w:r>
        <w:rPr>
          <w:b/>
          <w:bCs/>
          <w:color w:val="2E8B7F"/>
          <w:sz w:val="23"/>
          <w:szCs w:val="23"/>
        </w:rPr>
        <w:t>Average Landed Cost Per Unit</w:t>
      </w:r>
    </w:p>
    <w:p w14:paraId="7A7D59B2" w14:textId="77777777" w:rsidR="00CC032C" w:rsidRDefault="00000000">
      <w:pPr>
        <w:shd w:val="clear" w:color="auto" w:fill="F2F2F2"/>
        <w:spacing w:before="80" w:after="80"/>
        <w:ind w:left="360"/>
      </w:pPr>
      <w:proofErr w:type="spellStart"/>
      <w:r>
        <w:rPr>
          <w:rFonts w:ascii="Consolas" w:eastAsia="Consolas" w:hAnsi="Consolas" w:cs="Consolas"/>
          <w:color w:val="1F6F65"/>
          <w:sz w:val="19"/>
          <w:szCs w:val="19"/>
        </w:rPr>
        <w:t>Landed_Cost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Cost_Price</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Shipping_Cost_Per_Unit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Tariff_Amount_Per_Unit</w:t>
      </w:r>
      <w:proofErr w:type="spellEnd"/>
      <w:r>
        <w:rPr>
          <w:rFonts w:ascii="Consolas" w:eastAsia="Consolas" w:hAnsi="Consolas" w:cs="Consolas"/>
          <w:color w:val="1F6F65"/>
          <w:sz w:val="19"/>
          <w:szCs w:val="19"/>
        </w:rPr>
        <w:t xml:space="preserve"> + </w:t>
      </w:r>
      <w:proofErr w:type="spellStart"/>
      <w:r>
        <w:rPr>
          <w:rFonts w:ascii="Consolas" w:eastAsia="Consolas" w:hAnsi="Consolas" w:cs="Consolas"/>
          <w:color w:val="1F6F65"/>
          <w:sz w:val="19"/>
          <w:szCs w:val="19"/>
        </w:rPr>
        <w:t>Marketing_Cost_Per_Unit</w:t>
      </w:r>
      <w:proofErr w:type="spellEnd"/>
    </w:p>
    <w:p w14:paraId="35E6E94A" w14:textId="77777777" w:rsidR="00CC032C" w:rsidRDefault="00000000">
      <w:pPr>
        <w:spacing w:after="120"/>
      </w:pPr>
      <w:r>
        <w:t>Represents the true total cost to deliver one unit to the customer, combining estimated unit cost price, per-unit shipping cost, per-unit tariff amount, and per-unit marketing cost. Compared by category to identify which product lines carry the highest true delivery cost burden.</w:t>
      </w:r>
    </w:p>
    <w:p w14:paraId="76909DD0" w14:textId="77777777" w:rsidR="00CC032C" w:rsidRDefault="00000000">
      <w:pPr>
        <w:spacing w:before="200" w:after="80"/>
      </w:pPr>
      <w:r>
        <w:rPr>
          <w:b/>
          <w:bCs/>
          <w:color w:val="2E8B7F"/>
          <w:sz w:val="23"/>
          <w:szCs w:val="23"/>
        </w:rPr>
        <w:t>Average Tariff Rate per Unit</w:t>
      </w:r>
    </w:p>
    <w:p w14:paraId="25031DEA" w14:textId="77777777" w:rsidR="00CC032C" w:rsidRDefault="00000000">
      <w:pPr>
        <w:shd w:val="clear" w:color="auto" w:fill="F2F2F2"/>
        <w:spacing w:before="80" w:after="80"/>
        <w:ind w:left="360"/>
      </w:pPr>
      <w:r>
        <w:rPr>
          <w:rFonts w:ascii="Consolas" w:eastAsia="Consolas" w:hAnsi="Consolas" w:cs="Consolas"/>
          <w:color w:val="1F6F65"/>
          <w:sz w:val="19"/>
          <w:szCs w:val="19"/>
        </w:rPr>
        <w:t>AVERAGE(</w:t>
      </w:r>
      <w:proofErr w:type="spellStart"/>
      <w:r>
        <w:rPr>
          <w:rFonts w:ascii="Consolas" w:eastAsia="Consolas" w:hAnsi="Consolas" w:cs="Consolas"/>
          <w:color w:val="1F6F65"/>
          <w:sz w:val="19"/>
          <w:szCs w:val="19"/>
        </w:rPr>
        <w:t>Tariff_Rate</w:t>
      </w:r>
      <w:proofErr w:type="spellEnd"/>
      <w:r>
        <w:rPr>
          <w:rFonts w:ascii="Consolas" w:eastAsia="Consolas" w:hAnsi="Consolas" w:cs="Consolas"/>
          <w:color w:val="1F6F65"/>
          <w:sz w:val="19"/>
          <w:szCs w:val="19"/>
        </w:rPr>
        <w:t>) — grouped by Country</w:t>
      </w:r>
    </w:p>
    <w:p w14:paraId="039F5C79" w14:textId="77777777" w:rsidR="00CC032C" w:rsidRDefault="00000000">
      <w:pPr>
        <w:spacing w:after="120"/>
      </w:pPr>
      <w:r>
        <w:t>Average import/export tariff rate applied, compared across countries to identify which cross-border markets carry the highest tariff burden.</w:t>
      </w:r>
    </w:p>
    <w:p w14:paraId="13AB45DB" w14:textId="77777777" w:rsidR="00CC032C" w:rsidRDefault="00000000">
      <w:pPr>
        <w:spacing w:before="200" w:after="80"/>
      </w:pPr>
      <w:r>
        <w:rPr>
          <w:b/>
          <w:bCs/>
          <w:color w:val="2E8B7F"/>
          <w:sz w:val="23"/>
          <w:szCs w:val="23"/>
        </w:rPr>
        <w:t>Carbon Emission by Shipping Mode</w:t>
      </w:r>
    </w:p>
    <w:p w14:paraId="2CA3A95E" w14:textId="77777777" w:rsidR="00CC032C" w:rsidRDefault="00000000">
      <w:pPr>
        <w:shd w:val="clear" w:color="auto" w:fill="F2F2F2"/>
        <w:spacing w:before="80" w:after="80"/>
        <w:ind w:left="360"/>
      </w:pPr>
      <w:r>
        <w:rPr>
          <w:rFonts w:ascii="Consolas" w:eastAsia="Consolas" w:hAnsi="Consolas" w:cs="Consolas"/>
          <w:color w:val="1F6F65"/>
          <w:sz w:val="19"/>
          <w:szCs w:val="19"/>
        </w:rPr>
        <w:t>AVERAGE(</w:t>
      </w:r>
      <w:proofErr w:type="spellStart"/>
      <w:r>
        <w:rPr>
          <w:rFonts w:ascii="Consolas" w:eastAsia="Consolas" w:hAnsi="Consolas" w:cs="Consolas"/>
          <w:color w:val="1F6F65"/>
          <w:sz w:val="19"/>
          <w:szCs w:val="19"/>
        </w:rPr>
        <w:t>Carbon_Emission</w:t>
      </w:r>
      <w:proofErr w:type="spellEnd"/>
      <w:r>
        <w:rPr>
          <w:rFonts w:ascii="Consolas" w:eastAsia="Consolas" w:hAnsi="Consolas" w:cs="Consolas"/>
          <w:color w:val="1F6F65"/>
          <w:sz w:val="19"/>
          <w:szCs w:val="19"/>
        </w:rPr>
        <w:t xml:space="preserve">) — grouped by </w:t>
      </w:r>
      <w:proofErr w:type="spellStart"/>
      <w:r>
        <w:rPr>
          <w:rFonts w:ascii="Consolas" w:eastAsia="Consolas" w:hAnsi="Consolas" w:cs="Consolas"/>
          <w:color w:val="1F6F65"/>
          <w:sz w:val="19"/>
          <w:szCs w:val="19"/>
        </w:rPr>
        <w:t>Shipping_Mode</w:t>
      </w:r>
      <w:proofErr w:type="spellEnd"/>
    </w:p>
    <w:p w14:paraId="1DA54794" w14:textId="77777777" w:rsidR="00CC032C" w:rsidRDefault="00000000">
      <w:pPr>
        <w:spacing w:after="120"/>
      </w:pPr>
      <w:r>
        <w:t xml:space="preserve">Same calculation as shown above, broken out specifically by shipping mode for direct cost-versus-emissions comparison alongside </w:t>
      </w:r>
      <w:proofErr w:type="spellStart"/>
      <w:r>
        <w:t>Avg</w:t>
      </w:r>
      <w:proofErr w:type="spellEnd"/>
      <w:r>
        <w:t xml:space="preserve"> Shipping Cost.</w:t>
      </w:r>
    </w:p>
    <w:p w14:paraId="0F9E7648" w14:textId="77777777" w:rsidR="006E750F" w:rsidRDefault="006E750F">
      <w:pPr>
        <w:spacing w:before="200" w:after="80"/>
        <w:rPr>
          <w:b/>
          <w:bCs/>
          <w:color w:val="2E8B7F"/>
          <w:sz w:val="23"/>
          <w:szCs w:val="23"/>
        </w:rPr>
      </w:pPr>
    </w:p>
    <w:p w14:paraId="68B7B6BB" w14:textId="66456772" w:rsidR="00CC032C" w:rsidRDefault="00000000">
      <w:pPr>
        <w:spacing w:before="200" w:after="80"/>
      </w:pPr>
      <w:r>
        <w:rPr>
          <w:b/>
          <w:bCs/>
          <w:color w:val="2E8B7F"/>
          <w:sz w:val="23"/>
          <w:szCs w:val="23"/>
        </w:rPr>
        <w:lastRenderedPageBreak/>
        <w:t>Average Return Rate</w:t>
      </w:r>
    </w:p>
    <w:p w14:paraId="6AEA0616" w14:textId="77777777" w:rsidR="00CC032C" w:rsidRDefault="00000000">
      <w:pPr>
        <w:shd w:val="clear" w:color="auto" w:fill="F2F2F2"/>
        <w:spacing w:before="80" w:after="80"/>
        <w:ind w:left="360"/>
      </w:pPr>
      <w:r>
        <w:rPr>
          <w:rFonts w:ascii="Consolas" w:eastAsia="Consolas" w:hAnsi="Consolas" w:cs="Consolas"/>
          <w:color w:val="1F6F65"/>
          <w:sz w:val="19"/>
          <w:szCs w:val="19"/>
        </w:rPr>
        <w:t>AVERAGE(</w:t>
      </w:r>
      <w:proofErr w:type="spellStart"/>
      <w:r>
        <w:rPr>
          <w:rFonts w:ascii="Consolas" w:eastAsia="Consolas" w:hAnsi="Consolas" w:cs="Consolas"/>
          <w:color w:val="1F6F65"/>
          <w:sz w:val="19"/>
          <w:szCs w:val="19"/>
        </w:rPr>
        <w:t>Return_Rate</w:t>
      </w:r>
      <w:proofErr w:type="spellEnd"/>
      <w:r>
        <w:rPr>
          <w:rFonts w:ascii="Consolas" w:eastAsia="Consolas" w:hAnsi="Consolas" w:cs="Consolas"/>
          <w:color w:val="1F6F65"/>
          <w:sz w:val="19"/>
          <w:szCs w:val="19"/>
        </w:rPr>
        <w:t xml:space="preserve">) x 100 — grouped by </w:t>
      </w:r>
      <w:proofErr w:type="gramStart"/>
      <w:r>
        <w:rPr>
          <w:rFonts w:ascii="Consolas" w:eastAsia="Consolas" w:hAnsi="Consolas" w:cs="Consolas"/>
          <w:color w:val="1F6F65"/>
          <w:sz w:val="19"/>
          <w:szCs w:val="19"/>
        </w:rPr>
        <w:t>Region</w:t>
      </w:r>
      <w:proofErr w:type="gramEnd"/>
    </w:p>
    <w:p w14:paraId="2EF8783F" w14:textId="77777777" w:rsidR="00CC032C" w:rsidRDefault="00000000">
      <w:pPr>
        <w:spacing w:after="120"/>
      </w:pPr>
      <w:r>
        <w:t>Same calculation as shown in Section 5.2, shown here broken down by region rather than category, to identify which markets experience higher product return rates.</w:t>
      </w:r>
    </w:p>
    <w:sectPr w:rsidR="00CC03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1A82"/>
    <w:multiLevelType w:val="hybridMultilevel"/>
    <w:tmpl w:val="066240E6"/>
    <w:lvl w:ilvl="0" w:tplc="3176FB32">
      <w:start w:val="1"/>
      <w:numFmt w:val="bullet"/>
      <w:lvlText w:val="●"/>
      <w:lvlJc w:val="left"/>
      <w:pPr>
        <w:ind w:left="720" w:hanging="360"/>
      </w:pPr>
    </w:lvl>
    <w:lvl w:ilvl="1" w:tplc="57A6CD74">
      <w:start w:val="1"/>
      <w:numFmt w:val="bullet"/>
      <w:lvlText w:val="○"/>
      <w:lvlJc w:val="left"/>
      <w:pPr>
        <w:ind w:left="1440" w:hanging="360"/>
      </w:pPr>
    </w:lvl>
    <w:lvl w:ilvl="2" w:tplc="64163050">
      <w:start w:val="1"/>
      <w:numFmt w:val="bullet"/>
      <w:lvlText w:val="■"/>
      <w:lvlJc w:val="left"/>
      <w:pPr>
        <w:ind w:left="2160" w:hanging="360"/>
      </w:pPr>
    </w:lvl>
    <w:lvl w:ilvl="3" w:tplc="C9D22292">
      <w:start w:val="1"/>
      <w:numFmt w:val="bullet"/>
      <w:lvlText w:val="●"/>
      <w:lvlJc w:val="left"/>
      <w:pPr>
        <w:ind w:left="2880" w:hanging="360"/>
      </w:pPr>
    </w:lvl>
    <w:lvl w:ilvl="4" w:tplc="BEC40CA2">
      <w:start w:val="1"/>
      <w:numFmt w:val="bullet"/>
      <w:lvlText w:val="○"/>
      <w:lvlJc w:val="left"/>
      <w:pPr>
        <w:ind w:left="3600" w:hanging="360"/>
      </w:pPr>
    </w:lvl>
    <w:lvl w:ilvl="5" w:tplc="FB64D856">
      <w:start w:val="1"/>
      <w:numFmt w:val="bullet"/>
      <w:lvlText w:val="■"/>
      <w:lvlJc w:val="left"/>
      <w:pPr>
        <w:ind w:left="4320" w:hanging="360"/>
      </w:pPr>
    </w:lvl>
    <w:lvl w:ilvl="6" w:tplc="FADEB396">
      <w:start w:val="1"/>
      <w:numFmt w:val="bullet"/>
      <w:lvlText w:val="●"/>
      <w:lvlJc w:val="left"/>
      <w:pPr>
        <w:ind w:left="5040" w:hanging="360"/>
      </w:pPr>
    </w:lvl>
    <w:lvl w:ilvl="7" w:tplc="2D0C7D90">
      <w:start w:val="1"/>
      <w:numFmt w:val="bullet"/>
      <w:lvlText w:val="●"/>
      <w:lvlJc w:val="left"/>
      <w:pPr>
        <w:ind w:left="5760" w:hanging="360"/>
      </w:pPr>
    </w:lvl>
    <w:lvl w:ilvl="8" w:tplc="A51CA2F6">
      <w:start w:val="1"/>
      <w:numFmt w:val="bullet"/>
      <w:lvlText w:val="●"/>
      <w:lvlJc w:val="left"/>
      <w:pPr>
        <w:ind w:left="6480" w:hanging="360"/>
      </w:pPr>
    </w:lvl>
  </w:abstractNum>
  <w:abstractNum w:abstractNumId="1" w15:restartNumberingAfterBreak="0">
    <w:nsid w:val="07AB647B"/>
    <w:multiLevelType w:val="hybridMultilevel"/>
    <w:tmpl w:val="10CA8A74"/>
    <w:lvl w:ilvl="0" w:tplc="FB8E1F7A">
      <w:start w:val="1"/>
      <w:numFmt w:val="bullet"/>
      <w:lvlText w:val="•"/>
      <w:lvlJc w:val="left"/>
      <w:pPr>
        <w:ind w:left="720" w:hanging="360"/>
      </w:pPr>
    </w:lvl>
    <w:lvl w:ilvl="1" w:tplc="F7DC7FBC">
      <w:numFmt w:val="decimal"/>
      <w:lvlText w:val=""/>
      <w:lvlJc w:val="left"/>
    </w:lvl>
    <w:lvl w:ilvl="2" w:tplc="D12030A4">
      <w:numFmt w:val="decimal"/>
      <w:lvlText w:val=""/>
      <w:lvlJc w:val="left"/>
    </w:lvl>
    <w:lvl w:ilvl="3" w:tplc="8ACC458C">
      <w:numFmt w:val="decimal"/>
      <w:lvlText w:val=""/>
      <w:lvlJc w:val="left"/>
    </w:lvl>
    <w:lvl w:ilvl="4" w:tplc="58E24E40">
      <w:numFmt w:val="decimal"/>
      <w:lvlText w:val=""/>
      <w:lvlJc w:val="left"/>
    </w:lvl>
    <w:lvl w:ilvl="5" w:tplc="4E104EF0">
      <w:numFmt w:val="decimal"/>
      <w:lvlText w:val=""/>
      <w:lvlJc w:val="left"/>
    </w:lvl>
    <w:lvl w:ilvl="6" w:tplc="BD1E985A">
      <w:numFmt w:val="decimal"/>
      <w:lvlText w:val=""/>
      <w:lvlJc w:val="left"/>
    </w:lvl>
    <w:lvl w:ilvl="7" w:tplc="5C8CFA8A">
      <w:numFmt w:val="decimal"/>
      <w:lvlText w:val=""/>
      <w:lvlJc w:val="left"/>
    </w:lvl>
    <w:lvl w:ilvl="8" w:tplc="3DB4A2CA">
      <w:numFmt w:val="decimal"/>
      <w:lvlText w:val=""/>
      <w:lvlJc w:val="left"/>
    </w:lvl>
  </w:abstractNum>
  <w:num w:numId="1" w16cid:durableId="1079710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32C"/>
    <w:rsid w:val="004E77B8"/>
    <w:rsid w:val="00500ED6"/>
    <w:rsid w:val="006E750F"/>
    <w:rsid w:val="007617FF"/>
    <w:rsid w:val="009C3581"/>
    <w:rsid w:val="00CC0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A020"/>
  <w15:docId w15:val="{C225DBC3-95EF-4311-8F5F-9BAF2CB5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6F65"/>
      <w:sz w:val="32"/>
      <w:szCs w:val="32"/>
    </w:rPr>
  </w:style>
  <w:style w:type="paragraph" w:styleId="Heading2">
    <w:name w:val="heading 2"/>
    <w:uiPriority w:val="9"/>
    <w:unhideWhenUsed/>
    <w:qFormat/>
    <w:pPr>
      <w:spacing w:before="220" w:after="120"/>
      <w:outlineLvl w:val="1"/>
    </w:pPr>
    <w:rPr>
      <w:b/>
      <w:bCs/>
      <w:color w:val="2E8B7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2878</Words>
  <Characters>16406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Shete, Krishna Govind</cp:lastModifiedBy>
  <cp:revision>2</cp:revision>
  <dcterms:created xsi:type="dcterms:W3CDTF">2026-06-21T01:52:00Z</dcterms:created>
  <dcterms:modified xsi:type="dcterms:W3CDTF">2026-06-21T02:25:00Z</dcterms:modified>
</cp:coreProperties>
</file>