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D6EF6" w14:textId="77777777" w:rsidR="00C00844" w:rsidRDefault="00000000">
      <w:pPr>
        <w:pStyle w:val="Title"/>
        <w:jc w:val="center"/>
      </w:pPr>
      <w:r>
        <w:t>TAIIS 2026</w:t>
      </w:r>
    </w:p>
    <w:p w14:paraId="49A68F3C" w14:textId="77777777" w:rsidR="00C00844" w:rsidRDefault="00000000">
      <w:pPr>
        <w:jc w:val="center"/>
      </w:pPr>
      <w:r>
        <w:rPr>
          <w:b/>
          <w:sz w:val="28"/>
        </w:rPr>
        <w:t>Special Session: SS3</w:t>
      </w:r>
    </w:p>
    <w:p w14:paraId="15D1CFA9" w14:textId="77777777" w:rsidR="00C00844" w:rsidRDefault="00000000">
      <w:pPr>
        <w:pStyle w:val="IntenseQuote"/>
        <w:jc w:val="center"/>
      </w:pPr>
      <w:r>
        <w:t>Special session on Trustworthy AI for Smart Healthcare and Medical IoT</w:t>
      </w:r>
    </w:p>
    <w:p w14:paraId="2D183839" w14:textId="77777777" w:rsidR="00C00844" w:rsidRDefault="00C00844"/>
    <w:p w14:paraId="1531B488" w14:textId="77777777" w:rsidR="00C00844" w:rsidRDefault="00000000">
      <w:pPr>
        <w:pStyle w:val="Heading1"/>
      </w:pPr>
      <w:r>
        <w:t>Aim and Scope</w:t>
      </w:r>
    </w:p>
    <w:p w14:paraId="2EE7865F" w14:textId="77777777" w:rsidR="00C00844" w:rsidRDefault="00000000">
      <w:r>
        <w:t>Smart healthcare and medical IoT ecosystems integrate wearables, in-hospital sensors, implantable devices, and remote monitoring platforms into continuous care pathways that generate high-velocity, multimodal physiological data. These systems enable early warning, personalized therapy, and operational efficiency, but they also introduce life-critical dependence on automated inference under strict privacy, safety, and equity requirements. Clinicians and regulators demand evidence of clinical validity, while patients expect confidentiality across fragmented EHR, device, and cloud vendors. Design teams confront interoperability gaps (HL7/FHIR vs. proprietary streams), small and biased cohorts, and the cost of prospective validation. In live care, alert fatigue, silent sensor drift, and unexplainable model outputs erode clinician trust and can exacerbate disparities. Cyber incidents targeting connected medical devices and ransomware against hospitals further demonstrate that trustworthy AI must be co-engineered with device security, auditability, and human factors—not treated as an afterthought.</w:t>
      </w:r>
    </w:p>
    <w:p w14:paraId="031AB080" w14:textId="77777777" w:rsidR="00C00844" w:rsidRDefault="00000000">
      <w:r>
        <w:t>Special session SS3 on Trustworthy AI for Smart Healthcare and Medical IoT focuses on reliable, explainable, and regulation-aware AI for clinical decision support, digital therapeutics, and connected care infrastructure. The session invites contributions on validated ML, medical IoT security, privacy-preserving learning on health records, digital twins for precision medicine, and equitable deployment. It offers a premier interdisciplinary forum enabling AI researchers, biomedical engineers, clinicians, and health informaticists to advance medical IoT intelligence that is safe, transparent, and fit for real-world care delivery.</w:t>
      </w:r>
    </w:p>
    <w:p w14:paraId="31F1C4A4" w14:textId="77777777" w:rsidR="00C00844" w:rsidRDefault="00000000">
      <w:pPr>
        <w:pStyle w:val="Heading1"/>
      </w:pPr>
      <w:r>
        <w:t>List of Topics</w:t>
      </w:r>
    </w:p>
    <w:p w14:paraId="23118C84" w14:textId="77777777" w:rsidR="00C00844" w:rsidRDefault="00000000">
      <w:pPr>
        <w:pStyle w:val="ListBullet"/>
      </w:pPr>
      <w:r>
        <w:t>Trustworthy ML for diagnosis, prognosis, and clinical triage</w:t>
      </w:r>
    </w:p>
    <w:p w14:paraId="734872A0" w14:textId="77777777" w:rsidR="00C00844" w:rsidRDefault="00000000">
      <w:pPr>
        <w:pStyle w:val="ListBullet"/>
      </w:pPr>
      <w:r>
        <w:t>Medical IoT device security, patching, and data integrity</w:t>
      </w:r>
    </w:p>
    <w:p w14:paraId="3D6259B0" w14:textId="77777777" w:rsidR="00C00844" w:rsidRDefault="00000000">
      <w:pPr>
        <w:pStyle w:val="ListBullet"/>
      </w:pPr>
      <w:r>
        <w:t>Explainable AI for clinical decision support systems</w:t>
      </w:r>
    </w:p>
    <w:p w14:paraId="01178EA1" w14:textId="77777777" w:rsidR="00C00844" w:rsidRDefault="00000000">
      <w:pPr>
        <w:pStyle w:val="ListBullet"/>
      </w:pPr>
      <w:r>
        <w:t>Privacy-preserving learning on EHR and multimodal health data</w:t>
      </w:r>
    </w:p>
    <w:p w14:paraId="7FC77A38" w14:textId="77777777" w:rsidR="00C00844" w:rsidRDefault="00000000">
      <w:pPr>
        <w:pStyle w:val="ListBullet"/>
      </w:pPr>
      <w:r>
        <w:t>Remote patient monitoring, alerting, and closed-loop care</w:t>
      </w:r>
    </w:p>
    <w:p w14:paraId="22A8BE58" w14:textId="77777777" w:rsidR="00C00844" w:rsidRDefault="00000000">
      <w:pPr>
        <w:pStyle w:val="ListBullet"/>
      </w:pPr>
      <w:r>
        <w:t>Digital twins and in-silico models for personalized medicine</w:t>
      </w:r>
    </w:p>
    <w:p w14:paraId="3E9AE8B2" w14:textId="77777777" w:rsidR="00C00844" w:rsidRDefault="00000000">
      <w:pPr>
        <w:pStyle w:val="ListBullet"/>
      </w:pPr>
      <w:r>
        <w:t>Regulatory pathways, clinical validation, and quality management</w:t>
      </w:r>
    </w:p>
    <w:p w14:paraId="57DDCD61" w14:textId="77777777" w:rsidR="00C00844" w:rsidRDefault="00000000">
      <w:pPr>
        <w:pStyle w:val="ListBullet"/>
      </w:pPr>
      <w:r>
        <w:t>Bias, fairness, and health equity in medical AI</w:t>
      </w:r>
    </w:p>
    <w:p w14:paraId="731CDE79" w14:textId="77777777" w:rsidR="00C00844" w:rsidRDefault="00000000">
      <w:pPr>
        <w:pStyle w:val="ListBullet"/>
      </w:pPr>
      <w:r>
        <w:t>Interoperability (FHIR, HL7) and IoT–EHR integration</w:t>
      </w:r>
    </w:p>
    <w:p w14:paraId="358FB8CD" w14:textId="77777777" w:rsidR="00C00844" w:rsidRDefault="00000000">
      <w:pPr>
        <w:pStyle w:val="ListBullet"/>
      </w:pPr>
      <w:r>
        <w:lastRenderedPageBreak/>
        <w:t>Human factors and clinician adoption of AI-assisted workflows</w:t>
      </w:r>
    </w:p>
    <w:p w14:paraId="65B1593A" w14:textId="784D8A5A" w:rsidR="00C00844" w:rsidRDefault="00000000">
      <w:pPr>
        <w:pStyle w:val="Heading1"/>
      </w:pPr>
      <w:r>
        <w:t>C</w:t>
      </w:r>
      <w:r w:rsidR="0043185D">
        <w:t>hair</w:t>
      </w:r>
    </w:p>
    <w:p w14:paraId="09984AB9" w14:textId="5E91A5AB" w:rsidR="0043185D" w:rsidRPr="0043185D" w:rsidRDefault="0043185D" w:rsidP="0043185D">
      <w:r w:rsidRPr="0043185D">
        <w:t xml:space="preserve"> Priyanka </w:t>
      </w:r>
      <w:proofErr w:type="spellStart"/>
      <w:r w:rsidRPr="0043185D">
        <w:t>Chaurasia</w:t>
      </w:r>
      <w:proofErr w:type="spellEnd"/>
      <w:r w:rsidRPr="0043185D">
        <w:t>, University of Ulster, UK </w:t>
      </w:r>
    </w:p>
    <w:p w14:paraId="5497C69D" w14:textId="77777777" w:rsidR="00C00844" w:rsidRDefault="00000000">
      <w:pPr>
        <w:pStyle w:val="Heading1"/>
      </w:pPr>
      <w:r>
        <w:t>Submission Dates</w:t>
      </w:r>
    </w:p>
    <w:tbl>
      <w:tblPr>
        <w:tblStyle w:val="TableGrid"/>
        <w:tblW w:w="0" w:type="auto"/>
        <w:tblLook w:val="04A0" w:firstRow="1" w:lastRow="0" w:firstColumn="1" w:lastColumn="0" w:noHBand="0" w:noVBand="1"/>
      </w:tblPr>
      <w:tblGrid>
        <w:gridCol w:w="4320"/>
        <w:gridCol w:w="4320"/>
      </w:tblGrid>
      <w:tr w:rsidR="00C00844" w14:paraId="63FA8A66" w14:textId="77777777">
        <w:tc>
          <w:tcPr>
            <w:tcW w:w="4320" w:type="dxa"/>
          </w:tcPr>
          <w:p w14:paraId="5DAB60EE" w14:textId="77777777" w:rsidR="00C00844" w:rsidRDefault="00000000">
            <w:r>
              <w:rPr>
                <w:b/>
              </w:rPr>
              <w:t>Milestone</w:t>
            </w:r>
          </w:p>
        </w:tc>
        <w:tc>
          <w:tcPr>
            <w:tcW w:w="4320" w:type="dxa"/>
          </w:tcPr>
          <w:p w14:paraId="12B279E2" w14:textId="77777777" w:rsidR="00C00844" w:rsidRDefault="00000000">
            <w:r>
              <w:rPr>
                <w:b/>
              </w:rPr>
              <w:t>Date</w:t>
            </w:r>
          </w:p>
        </w:tc>
      </w:tr>
      <w:tr w:rsidR="00C00844" w14:paraId="076576D6" w14:textId="77777777">
        <w:tc>
          <w:tcPr>
            <w:tcW w:w="4320" w:type="dxa"/>
          </w:tcPr>
          <w:p w14:paraId="1D9C46D8" w14:textId="77777777" w:rsidR="00C00844" w:rsidRDefault="00000000">
            <w:r>
              <w:t>Paper Submission Deadline</w:t>
            </w:r>
          </w:p>
        </w:tc>
        <w:tc>
          <w:tcPr>
            <w:tcW w:w="4320" w:type="dxa"/>
          </w:tcPr>
          <w:p w14:paraId="0F569381" w14:textId="77777777" w:rsidR="00C00844" w:rsidRDefault="00000000">
            <w:r>
              <w:t>September 30, 2026</w:t>
            </w:r>
          </w:p>
        </w:tc>
      </w:tr>
      <w:tr w:rsidR="00C00844" w14:paraId="5CA8B493" w14:textId="77777777">
        <w:tc>
          <w:tcPr>
            <w:tcW w:w="4320" w:type="dxa"/>
          </w:tcPr>
          <w:p w14:paraId="5A8CA158" w14:textId="77777777" w:rsidR="00C00844" w:rsidRDefault="00000000">
            <w:r>
              <w:t>Acceptance Notification</w:t>
            </w:r>
          </w:p>
        </w:tc>
        <w:tc>
          <w:tcPr>
            <w:tcW w:w="4320" w:type="dxa"/>
          </w:tcPr>
          <w:p w14:paraId="6016903F" w14:textId="77777777" w:rsidR="00C00844" w:rsidRDefault="00000000">
            <w:r>
              <w:t>October 15, 2026</w:t>
            </w:r>
          </w:p>
        </w:tc>
      </w:tr>
      <w:tr w:rsidR="00C00844" w14:paraId="0F7FA731" w14:textId="77777777">
        <w:tc>
          <w:tcPr>
            <w:tcW w:w="4320" w:type="dxa"/>
          </w:tcPr>
          <w:p w14:paraId="4F2456A0" w14:textId="77777777" w:rsidR="00C00844" w:rsidRDefault="00000000">
            <w:r>
              <w:t>Camera-Ready Submission</w:t>
            </w:r>
          </w:p>
        </w:tc>
        <w:tc>
          <w:tcPr>
            <w:tcW w:w="4320" w:type="dxa"/>
          </w:tcPr>
          <w:p w14:paraId="401C0F31" w14:textId="77777777" w:rsidR="00C00844" w:rsidRDefault="00000000">
            <w:r>
              <w:t>November 01, 2026</w:t>
            </w:r>
          </w:p>
        </w:tc>
      </w:tr>
      <w:tr w:rsidR="00C00844" w14:paraId="2F9A39B3" w14:textId="77777777">
        <w:tc>
          <w:tcPr>
            <w:tcW w:w="4320" w:type="dxa"/>
          </w:tcPr>
          <w:p w14:paraId="2F3DB4DB" w14:textId="77777777" w:rsidR="00C00844" w:rsidRDefault="00000000">
            <w:r>
              <w:t>Conference Dates</w:t>
            </w:r>
          </w:p>
        </w:tc>
        <w:tc>
          <w:tcPr>
            <w:tcW w:w="4320" w:type="dxa"/>
          </w:tcPr>
          <w:p w14:paraId="6D4FF5EB" w14:textId="77777777" w:rsidR="00C00844" w:rsidRDefault="00000000">
            <w:r>
              <w:t>December 3–5, 2026</w:t>
            </w:r>
          </w:p>
        </w:tc>
      </w:tr>
    </w:tbl>
    <w:p w14:paraId="4AA44F49" w14:textId="77777777" w:rsidR="00C00844" w:rsidRDefault="00C00844"/>
    <w:p w14:paraId="1C827365" w14:textId="371EA412" w:rsidR="00C00844" w:rsidRDefault="00C00844"/>
    <w:sectPr w:rsidR="00C0084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0205326">
    <w:abstractNumId w:val="8"/>
  </w:num>
  <w:num w:numId="2" w16cid:durableId="1796023368">
    <w:abstractNumId w:val="6"/>
  </w:num>
  <w:num w:numId="3" w16cid:durableId="464280663">
    <w:abstractNumId w:val="5"/>
  </w:num>
  <w:num w:numId="4" w16cid:durableId="1596401085">
    <w:abstractNumId w:val="4"/>
  </w:num>
  <w:num w:numId="5" w16cid:durableId="1222986307">
    <w:abstractNumId w:val="7"/>
  </w:num>
  <w:num w:numId="6" w16cid:durableId="1765105212">
    <w:abstractNumId w:val="3"/>
  </w:num>
  <w:num w:numId="7" w16cid:durableId="82191866">
    <w:abstractNumId w:val="2"/>
  </w:num>
  <w:num w:numId="8" w16cid:durableId="260725190">
    <w:abstractNumId w:val="1"/>
  </w:num>
  <w:num w:numId="9" w16cid:durableId="891967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185D"/>
    <w:rsid w:val="00774A5D"/>
    <w:rsid w:val="0084401C"/>
    <w:rsid w:val="00A97112"/>
    <w:rsid w:val="00AA1D8D"/>
    <w:rsid w:val="00B47730"/>
    <w:rsid w:val="00C0084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D7E36E"/>
  <w14:defaultImageDpi w14:val="300"/>
  <w15:docId w15:val="{8B6606E9-974D-40BF-BA09-F5C317906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01C"/>
    <w:pPr>
      <w:jc w:val="both"/>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405</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2026-09-21T23:16:00Z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dc0261c1-0822-4424-bec4-21b17edee865</vt:lpwstr>
  </property>
</Properties>
</file>