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1F41A" w14:textId="77777777" w:rsidR="00BE5C33" w:rsidRDefault="00000000">
      <w:pPr>
        <w:pStyle w:val="Title"/>
        <w:jc w:val="center"/>
      </w:pPr>
      <w:r>
        <w:t>TAIIS 2026</w:t>
      </w:r>
    </w:p>
    <w:p w14:paraId="1E7E56B3" w14:textId="77777777" w:rsidR="00BE5C33" w:rsidRDefault="00000000">
      <w:pPr>
        <w:jc w:val="center"/>
      </w:pPr>
      <w:r>
        <w:rPr>
          <w:b/>
          <w:sz w:val="28"/>
        </w:rPr>
        <w:t>Special Session: SS4</w:t>
      </w:r>
    </w:p>
    <w:p w14:paraId="6FD0CEEA" w14:textId="77777777" w:rsidR="00BE5C33" w:rsidRDefault="00000000">
      <w:pPr>
        <w:pStyle w:val="IntenseQuote"/>
        <w:jc w:val="center"/>
      </w:pPr>
      <w:r>
        <w:t>Special session on Generative AI and Large Language Models for IoT and Cyber-Physical Systems</w:t>
      </w:r>
    </w:p>
    <w:p w14:paraId="389EE88F" w14:textId="77777777" w:rsidR="00BE5C33" w:rsidRDefault="00BE5C33"/>
    <w:p w14:paraId="434C9209" w14:textId="77777777" w:rsidR="00BE5C33" w:rsidRDefault="00000000">
      <w:pPr>
        <w:pStyle w:val="Heading1"/>
      </w:pPr>
      <w:r>
        <w:t>Aim and Scope</w:t>
      </w:r>
    </w:p>
    <w:p w14:paraId="6B8B462C" w14:textId="77777777" w:rsidR="00BE5C33" w:rsidRDefault="00000000">
      <w:r>
        <w:t>Generative AI and large language models are rapidly entering cyber-physical and IoT lifecycles—from natural-language commissioning of device fleets to automated synthesis of control policies, test scenarios, and maintenance workflows across factories, buildings, and vehicles. Multimodal foundation models promise to unify logs, images, time series, and SCADA events, yet grounding generative outputs in physical state remains fragile: hallucinations, stale context, and prompt injection can propagate into unsafe actuation or incorrect operational decisions. Edge and embedded constraints limit model size and complicate secure update paths, while proprietary IoT APIs fragment tool-use for agentic systems. Design teams must balance productivity gains against verification burden, latency, and energy costs of inference at scale. In production, inconsistent telemetry quality, missing digital thread metadata, and weak access control around LLM copilots create new attack surfaces alongside traditional CPS threats. Organizations therefore need rigorous methods to evaluate, constrain, and monitor GenAI within closed-loop physical systems.</w:t>
      </w:r>
    </w:p>
    <w:p w14:paraId="590FFD32" w14:textId="77777777" w:rsidR="00BE5C33" w:rsidRDefault="00000000">
      <w:r>
        <w:t>Special session SS4 on Generative AI and Large Language Models for IoT and Cyber-Physical Systems explores foundation models, retrieval-augmented grounding on sensor and log corpora, agentic orchestration, synthetic data for simulation, and secure edge deployment of GenAI. The session welcomes architectures, benchmarks, industrial copilots, and safety cases for LLM-enabled CPS operations. It offers an internationally leading forum enabling GenAI researchers, IoT platform engineers, and CPS safety specialists to co-design reliable, auditable generative intelligence for connected physical worlds.</w:t>
      </w:r>
    </w:p>
    <w:p w14:paraId="557140B4" w14:textId="77777777" w:rsidR="00BE5C33" w:rsidRDefault="00000000">
      <w:pPr>
        <w:pStyle w:val="Heading1"/>
      </w:pPr>
      <w:r>
        <w:t>List of Topics</w:t>
      </w:r>
    </w:p>
    <w:p w14:paraId="74CC158D" w14:textId="77777777" w:rsidR="00BE5C33" w:rsidRDefault="00000000">
      <w:pPr>
        <w:pStyle w:val="ListBullet"/>
      </w:pPr>
      <w:r>
        <w:t>LLMs and multimodal foundation models for IoT/CPS operations</w:t>
      </w:r>
    </w:p>
    <w:p w14:paraId="5463AC18" w14:textId="77777777" w:rsidR="00BE5C33" w:rsidRDefault="00000000">
      <w:pPr>
        <w:pStyle w:val="ListBullet"/>
      </w:pPr>
      <w:r>
        <w:t>Retrieval-augmented generation (RAG) over telemetry, logs, and twins</w:t>
      </w:r>
    </w:p>
    <w:p w14:paraId="0ECE07E3" w14:textId="77777777" w:rsidR="00BE5C33" w:rsidRDefault="00000000">
      <w:pPr>
        <w:pStyle w:val="ListBullet"/>
      </w:pPr>
      <w:r>
        <w:t>Synthetic data and scenario generation for IoT simulation</w:t>
      </w:r>
    </w:p>
    <w:p w14:paraId="111149E9" w14:textId="77777777" w:rsidR="00BE5C33" w:rsidRDefault="00000000">
      <w:pPr>
        <w:pStyle w:val="ListBullet"/>
      </w:pPr>
      <w:r>
        <w:t>Agentic AI, tool-use, and API grounding for device platforms</w:t>
      </w:r>
    </w:p>
    <w:p w14:paraId="5F4D3D32" w14:textId="77777777" w:rsidR="00BE5C33" w:rsidRDefault="00000000">
      <w:pPr>
        <w:pStyle w:val="ListBullet"/>
      </w:pPr>
      <w:r>
        <w:t>Code, policy, and workflow generation for IoT automation</w:t>
      </w:r>
    </w:p>
    <w:p w14:paraId="313180EE" w14:textId="77777777" w:rsidR="00BE5C33" w:rsidRDefault="00000000">
      <w:pPr>
        <w:pStyle w:val="ListBullet"/>
      </w:pPr>
      <w:r>
        <w:t>Hallucination control, factuality, and physics-aware grounding</w:t>
      </w:r>
    </w:p>
    <w:p w14:paraId="532BF52A" w14:textId="77777777" w:rsidR="00BE5C33" w:rsidRDefault="00000000">
      <w:pPr>
        <w:pStyle w:val="ListBullet"/>
      </w:pPr>
      <w:r>
        <w:t>Edge-efficient fine-tuning, distillation, and model compression</w:t>
      </w:r>
    </w:p>
    <w:p w14:paraId="586929C4" w14:textId="77777777" w:rsidR="00BE5C33" w:rsidRDefault="00000000">
      <w:pPr>
        <w:pStyle w:val="ListBullet"/>
      </w:pPr>
      <w:r>
        <w:t>Security, prompt injection, and guardrails for IoT copilots</w:t>
      </w:r>
    </w:p>
    <w:p w14:paraId="5574386A" w14:textId="77777777" w:rsidR="00BE5C33" w:rsidRDefault="00000000">
      <w:pPr>
        <w:pStyle w:val="ListBullet"/>
      </w:pPr>
      <w:r>
        <w:lastRenderedPageBreak/>
        <w:t>Human–AI collaboration in maintenance and control rooms</w:t>
      </w:r>
    </w:p>
    <w:p w14:paraId="66A53025" w14:textId="77777777" w:rsidR="00BE5C33" w:rsidRDefault="00000000">
      <w:pPr>
        <w:pStyle w:val="ListBullet"/>
      </w:pPr>
      <w:r>
        <w:t>Evaluation benchmarks and safety cases for GenAI in CPS</w:t>
      </w:r>
    </w:p>
    <w:p w14:paraId="6A34DC06" w14:textId="6AAD05AA" w:rsidR="00BE5C33" w:rsidRDefault="00000000">
      <w:pPr>
        <w:pStyle w:val="Heading1"/>
      </w:pPr>
      <w:r>
        <w:t>C</w:t>
      </w:r>
      <w:r w:rsidR="001A26E9">
        <w:t>hair</w:t>
      </w:r>
    </w:p>
    <w:p w14:paraId="66723F22" w14:textId="0D358187" w:rsidR="001A26E9" w:rsidRPr="001A26E9" w:rsidRDefault="001A26E9" w:rsidP="001A26E9">
      <w:r w:rsidRPr="001A26E9">
        <w:t>Sudhakar Kumar, CCET, Panjab University, Chandigarh, India  </w:t>
      </w:r>
    </w:p>
    <w:p w14:paraId="083F6492" w14:textId="77777777" w:rsidR="00BE5C33"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BE5C33" w14:paraId="2FC9CE3F" w14:textId="77777777">
        <w:tc>
          <w:tcPr>
            <w:tcW w:w="4320" w:type="dxa"/>
          </w:tcPr>
          <w:p w14:paraId="0301D842" w14:textId="77777777" w:rsidR="00BE5C33" w:rsidRDefault="00000000">
            <w:r>
              <w:rPr>
                <w:b/>
              </w:rPr>
              <w:t>Milestone</w:t>
            </w:r>
          </w:p>
        </w:tc>
        <w:tc>
          <w:tcPr>
            <w:tcW w:w="4320" w:type="dxa"/>
          </w:tcPr>
          <w:p w14:paraId="78D21DAF" w14:textId="77777777" w:rsidR="00BE5C33" w:rsidRDefault="00000000">
            <w:r>
              <w:rPr>
                <w:b/>
              </w:rPr>
              <w:t>Date</w:t>
            </w:r>
          </w:p>
        </w:tc>
      </w:tr>
      <w:tr w:rsidR="00BE5C33" w14:paraId="68A1D6FB" w14:textId="77777777">
        <w:tc>
          <w:tcPr>
            <w:tcW w:w="4320" w:type="dxa"/>
          </w:tcPr>
          <w:p w14:paraId="6BFA0141" w14:textId="77777777" w:rsidR="00BE5C33" w:rsidRDefault="00000000">
            <w:r>
              <w:t>Paper Submission Deadline</w:t>
            </w:r>
          </w:p>
        </w:tc>
        <w:tc>
          <w:tcPr>
            <w:tcW w:w="4320" w:type="dxa"/>
          </w:tcPr>
          <w:p w14:paraId="710F078E" w14:textId="77777777" w:rsidR="00BE5C33" w:rsidRDefault="00000000">
            <w:r>
              <w:t>September 30, 2026</w:t>
            </w:r>
          </w:p>
        </w:tc>
      </w:tr>
      <w:tr w:rsidR="00BE5C33" w14:paraId="297A1ECB" w14:textId="77777777">
        <w:tc>
          <w:tcPr>
            <w:tcW w:w="4320" w:type="dxa"/>
          </w:tcPr>
          <w:p w14:paraId="23C159E4" w14:textId="77777777" w:rsidR="00BE5C33" w:rsidRDefault="00000000">
            <w:r>
              <w:t>Acceptance Notification</w:t>
            </w:r>
          </w:p>
        </w:tc>
        <w:tc>
          <w:tcPr>
            <w:tcW w:w="4320" w:type="dxa"/>
          </w:tcPr>
          <w:p w14:paraId="4BA23939" w14:textId="77777777" w:rsidR="00BE5C33" w:rsidRDefault="00000000">
            <w:r>
              <w:t>October 15, 2026</w:t>
            </w:r>
          </w:p>
        </w:tc>
      </w:tr>
      <w:tr w:rsidR="00BE5C33" w14:paraId="0EC70988" w14:textId="77777777">
        <w:tc>
          <w:tcPr>
            <w:tcW w:w="4320" w:type="dxa"/>
          </w:tcPr>
          <w:p w14:paraId="4CFC187A" w14:textId="77777777" w:rsidR="00BE5C33" w:rsidRDefault="00000000">
            <w:r>
              <w:t>Camera-Ready Submission</w:t>
            </w:r>
          </w:p>
        </w:tc>
        <w:tc>
          <w:tcPr>
            <w:tcW w:w="4320" w:type="dxa"/>
          </w:tcPr>
          <w:p w14:paraId="7E43EC23" w14:textId="77777777" w:rsidR="00BE5C33" w:rsidRDefault="00000000">
            <w:r>
              <w:t>November 01, 2026</w:t>
            </w:r>
          </w:p>
        </w:tc>
      </w:tr>
      <w:tr w:rsidR="00BE5C33" w14:paraId="4776A583" w14:textId="77777777">
        <w:tc>
          <w:tcPr>
            <w:tcW w:w="4320" w:type="dxa"/>
          </w:tcPr>
          <w:p w14:paraId="04C561FA" w14:textId="77777777" w:rsidR="00BE5C33" w:rsidRDefault="00000000">
            <w:r>
              <w:t>Conference Dates</w:t>
            </w:r>
          </w:p>
        </w:tc>
        <w:tc>
          <w:tcPr>
            <w:tcW w:w="4320" w:type="dxa"/>
          </w:tcPr>
          <w:p w14:paraId="234C76CF" w14:textId="77777777" w:rsidR="00BE5C33" w:rsidRDefault="00000000">
            <w:r>
              <w:t>December 3–5, 2026</w:t>
            </w:r>
          </w:p>
        </w:tc>
      </w:tr>
    </w:tbl>
    <w:p w14:paraId="2DB862EA" w14:textId="77777777" w:rsidR="00BE5C33" w:rsidRDefault="00BE5C33"/>
    <w:p w14:paraId="15B77A0F" w14:textId="3EF37D4E" w:rsidR="00BE5C33" w:rsidRDefault="00BE5C33"/>
    <w:sectPr w:rsidR="00BE5C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984847">
    <w:abstractNumId w:val="8"/>
  </w:num>
  <w:num w:numId="2" w16cid:durableId="1912735282">
    <w:abstractNumId w:val="6"/>
  </w:num>
  <w:num w:numId="3" w16cid:durableId="556012343">
    <w:abstractNumId w:val="5"/>
  </w:num>
  <w:num w:numId="4" w16cid:durableId="777867555">
    <w:abstractNumId w:val="4"/>
  </w:num>
  <w:num w:numId="5" w16cid:durableId="2145077598">
    <w:abstractNumId w:val="7"/>
  </w:num>
  <w:num w:numId="6" w16cid:durableId="1557936948">
    <w:abstractNumId w:val="3"/>
  </w:num>
  <w:num w:numId="7" w16cid:durableId="1206287636">
    <w:abstractNumId w:val="2"/>
  </w:num>
  <w:num w:numId="8" w16cid:durableId="328942571">
    <w:abstractNumId w:val="1"/>
  </w:num>
  <w:num w:numId="9" w16cid:durableId="154436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6E9"/>
    <w:rsid w:val="0029639D"/>
    <w:rsid w:val="00326F90"/>
    <w:rsid w:val="00774A5D"/>
    <w:rsid w:val="00A97112"/>
    <w:rsid w:val="00AA1D8D"/>
    <w:rsid w:val="00B47730"/>
    <w:rsid w:val="00BE5C33"/>
    <w:rsid w:val="00CB0664"/>
    <w:rsid w:val="00F41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A3EA3"/>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F6"/>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39ba44be-3513-448e-a35c-b00a9f182612</vt:lpwstr>
  </property>
</Properties>
</file>