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62010" w14:textId="77777777" w:rsidR="00A36C6F" w:rsidRDefault="00000000">
      <w:pPr>
        <w:pStyle w:val="Title"/>
        <w:jc w:val="center"/>
      </w:pPr>
      <w:r>
        <w:t>TAIIS 2026</w:t>
      </w:r>
    </w:p>
    <w:p w14:paraId="61F8E3B2" w14:textId="77777777" w:rsidR="00A36C6F" w:rsidRDefault="00000000">
      <w:pPr>
        <w:jc w:val="center"/>
      </w:pPr>
      <w:r>
        <w:rPr>
          <w:b/>
          <w:sz w:val="28"/>
        </w:rPr>
        <w:t>Special Session: SS5</w:t>
      </w:r>
    </w:p>
    <w:p w14:paraId="2444145C" w14:textId="77777777" w:rsidR="00A36C6F" w:rsidRDefault="00000000">
      <w:pPr>
        <w:pStyle w:val="IntenseQuote"/>
        <w:jc w:val="center"/>
      </w:pPr>
      <w:r>
        <w:t>Special session on AI Governance, Risk Management and Responsible Technology Adoption</w:t>
      </w:r>
    </w:p>
    <w:p w14:paraId="62CDC817" w14:textId="77777777" w:rsidR="00A36C6F" w:rsidRDefault="00A36C6F"/>
    <w:p w14:paraId="0B81FCD1" w14:textId="77777777" w:rsidR="00A36C6F" w:rsidRDefault="00000000">
      <w:pPr>
        <w:pStyle w:val="Heading1"/>
      </w:pPr>
      <w:r>
        <w:t>Aim and Scope</w:t>
      </w:r>
    </w:p>
    <w:p w14:paraId="14CC84F7" w14:textId="77777777" w:rsidR="00A36C6F" w:rsidRDefault="00000000">
      <w:r>
        <w:t>Enterprises and public agencies are deploying AI and IoT at scale across supply chains, workplaces, and citizen services, creating portfolios of models, devices, and third-party algorithms whose combined risk is difficult to inventory or govern. Capabilities such as predictive maintenance, autonomous monitoring, and generative assistants deliver efficiency, yet opaque vendor models, cross-border data flows, and automated decisions amplify legal, reputational, and societal harms when controls lag deployment. During adoption, organizations struggle with inconsistent risk taxonomies, immature model documentation, and siloed IT/OT/AI teams. In operation, incident response for AI failures, drift, and data breaches lacks playbooks comparable to traditional cybersecurity. Evolving regulations—AI acts, sector rules, and data-sovereignty regimes—require demonstrable conformity, impact assessment, and human oversight mechanisms that many IoT-AI programs have not institutionalized. Without integrated governance, responsible technology adoption stalls or becomes performative rather than measurable.</w:t>
      </w:r>
    </w:p>
    <w:p w14:paraId="0515C390" w14:textId="77777777" w:rsidR="00A36C6F" w:rsidRDefault="00000000">
      <w:r>
        <w:t>Special session SS5 on AI Governance, Risk Management and Responsible Technology Adoption examines frameworks, tooling, and organizational practices for lifecycle governance of intelligent IoT systems. The session invites research and practice papers on risk management (e.g., NIST AI RMF, ISO/IEC approaches), audit trails, third-party AI supply chains, transparency reporting, red teaming, and conformity evaluation. It offers a premier interdisciplinary forum enabling technologists, legal and policy scholars, risk officers, and business leaders to align AI–IoT innovation with accountable, sustainable adoption.</w:t>
      </w:r>
    </w:p>
    <w:p w14:paraId="2EFC17E5" w14:textId="77777777" w:rsidR="00A36C6F" w:rsidRDefault="00000000">
      <w:pPr>
        <w:pStyle w:val="Heading1"/>
      </w:pPr>
      <w:r>
        <w:t>List of Topics</w:t>
      </w:r>
    </w:p>
    <w:p w14:paraId="182D88F5" w14:textId="77777777" w:rsidR="00A36C6F" w:rsidRDefault="00000000">
      <w:pPr>
        <w:pStyle w:val="ListBullet"/>
      </w:pPr>
      <w:r>
        <w:t>AI governance operating models and accountability structures</w:t>
      </w:r>
    </w:p>
    <w:p w14:paraId="25EBCD89" w14:textId="77777777" w:rsidR="00A36C6F" w:rsidRDefault="00000000">
      <w:pPr>
        <w:pStyle w:val="ListBullet"/>
      </w:pPr>
      <w:r>
        <w:t>Risk management frameworks and quantitative AI risk assessment</w:t>
      </w:r>
    </w:p>
    <w:p w14:paraId="6238D2E4" w14:textId="77777777" w:rsidR="00A36C6F" w:rsidRDefault="00000000">
      <w:pPr>
        <w:pStyle w:val="ListBullet"/>
      </w:pPr>
      <w:r>
        <w:t>Model documentation, lineage, and inventory for IoT-AI portfolios</w:t>
      </w:r>
    </w:p>
    <w:p w14:paraId="38FF51AA" w14:textId="77777777" w:rsidR="00A36C6F" w:rsidRDefault="00000000">
      <w:pPr>
        <w:pStyle w:val="ListBullet"/>
      </w:pPr>
      <w:r>
        <w:t>Third-party AI, IoT vendor risk, and contractual assurance</w:t>
      </w:r>
    </w:p>
    <w:p w14:paraId="35ECC29F" w14:textId="77777777" w:rsidR="00A36C6F" w:rsidRDefault="00000000">
      <w:pPr>
        <w:pStyle w:val="ListBullet"/>
      </w:pPr>
      <w:r>
        <w:t>Impact assessment, conformity evaluation, and audit readiness</w:t>
      </w:r>
    </w:p>
    <w:p w14:paraId="56F31BC3" w14:textId="77777777" w:rsidR="00A36C6F" w:rsidRDefault="00000000">
      <w:pPr>
        <w:pStyle w:val="ListBullet"/>
      </w:pPr>
      <w:r>
        <w:t>Responsible AI principles, maturity models, and KPIs</w:t>
      </w:r>
    </w:p>
    <w:p w14:paraId="477CE50D" w14:textId="77777777" w:rsidR="00A36C6F" w:rsidRDefault="00000000">
      <w:pPr>
        <w:pStyle w:val="ListBullet"/>
      </w:pPr>
      <w:r>
        <w:t>Ethics review, red teaming, and oversight mechanisms</w:t>
      </w:r>
    </w:p>
    <w:p w14:paraId="1D6BFC11" w14:textId="77777777" w:rsidR="00A36C6F" w:rsidRDefault="00000000">
      <w:pPr>
        <w:pStyle w:val="ListBullet"/>
      </w:pPr>
      <w:r>
        <w:t>Transparency, disclosure, and stakeholder engagement</w:t>
      </w:r>
    </w:p>
    <w:p w14:paraId="52B1D192" w14:textId="77777777" w:rsidR="00A36C6F" w:rsidRDefault="00000000">
      <w:pPr>
        <w:pStyle w:val="ListBullet"/>
      </w:pPr>
      <w:r>
        <w:lastRenderedPageBreak/>
        <w:t>Cross-border compliance and data-sovereignty constraints</w:t>
      </w:r>
    </w:p>
    <w:p w14:paraId="0AC1AD20" w14:textId="77777777" w:rsidR="00A36C6F" w:rsidRDefault="00000000">
      <w:pPr>
        <w:pStyle w:val="ListBullet"/>
      </w:pPr>
      <w:r>
        <w:t>Training, change management, and board-level AI literacy</w:t>
      </w:r>
    </w:p>
    <w:p w14:paraId="431B6B5C" w14:textId="1077CE16" w:rsidR="00A36C6F" w:rsidRDefault="00000000">
      <w:pPr>
        <w:pStyle w:val="Heading1"/>
      </w:pPr>
      <w:r>
        <w:t>C</w:t>
      </w:r>
      <w:r w:rsidR="001205D4">
        <w:t>hair</w:t>
      </w:r>
    </w:p>
    <w:p w14:paraId="6225F751" w14:textId="6CBB9655" w:rsidR="001205D4" w:rsidRPr="001205D4" w:rsidRDefault="001205D4" w:rsidP="001205D4">
      <w:r w:rsidRPr="001205D4">
        <w:t xml:space="preserve">Vijayan </w:t>
      </w:r>
      <w:proofErr w:type="spellStart"/>
      <w:r w:rsidRPr="001205D4">
        <w:t>Sugumaran</w:t>
      </w:r>
      <w:proofErr w:type="spellEnd"/>
      <w:r w:rsidRPr="001205D4">
        <w:t xml:space="preserve">, </w:t>
      </w:r>
      <w:r w:rsidRPr="001205D4">
        <w:t>Distinguished Professor of Management Information Systems, School of Business Administration, Oakland University, USA</w:t>
      </w:r>
    </w:p>
    <w:p w14:paraId="286E3931" w14:textId="77777777" w:rsidR="00A36C6F" w:rsidRDefault="00000000">
      <w:pPr>
        <w:pStyle w:val="Heading1"/>
      </w:pPr>
      <w:r>
        <w:t>Submission Dates</w:t>
      </w:r>
    </w:p>
    <w:tbl>
      <w:tblPr>
        <w:tblStyle w:val="TableGrid"/>
        <w:tblW w:w="0" w:type="auto"/>
        <w:tblLook w:val="04A0" w:firstRow="1" w:lastRow="0" w:firstColumn="1" w:lastColumn="0" w:noHBand="0" w:noVBand="1"/>
      </w:tblPr>
      <w:tblGrid>
        <w:gridCol w:w="4320"/>
        <w:gridCol w:w="4320"/>
      </w:tblGrid>
      <w:tr w:rsidR="00A36C6F" w14:paraId="3CB4C808" w14:textId="77777777">
        <w:tc>
          <w:tcPr>
            <w:tcW w:w="4320" w:type="dxa"/>
          </w:tcPr>
          <w:p w14:paraId="2794C839" w14:textId="77777777" w:rsidR="00A36C6F" w:rsidRDefault="00000000">
            <w:r>
              <w:rPr>
                <w:b/>
              </w:rPr>
              <w:t>Milestone</w:t>
            </w:r>
          </w:p>
        </w:tc>
        <w:tc>
          <w:tcPr>
            <w:tcW w:w="4320" w:type="dxa"/>
          </w:tcPr>
          <w:p w14:paraId="11D1E7C2" w14:textId="77777777" w:rsidR="00A36C6F" w:rsidRDefault="00000000">
            <w:r>
              <w:rPr>
                <w:b/>
              </w:rPr>
              <w:t>Date</w:t>
            </w:r>
          </w:p>
        </w:tc>
      </w:tr>
      <w:tr w:rsidR="00A36C6F" w14:paraId="70DFCEE4" w14:textId="77777777">
        <w:tc>
          <w:tcPr>
            <w:tcW w:w="4320" w:type="dxa"/>
          </w:tcPr>
          <w:p w14:paraId="7E6AAA7A" w14:textId="77777777" w:rsidR="00A36C6F" w:rsidRDefault="00000000">
            <w:r>
              <w:t>Paper Submission Deadline</w:t>
            </w:r>
          </w:p>
        </w:tc>
        <w:tc>
          <w:tcPr>
            <w:tcW w:w="4320" w:type="dxa"/>
          </w:tcPr>
          <w:p w14:paraId="5D1B06C6" w14:textId="77777777" w:rsidR="00A36C6F" w:rsidRDefault="00000000">
            <w:r>
              <w:t>September 30, 2026</w:t>
            </w:r>
          </w:p>
        </w:tc>
      </w:tr>
      <w:tr w:rsidR="00A36C6F" w14:paraId="60460FD9" w14:textId="77777777">
        <w:tc>
          <w:tcPr>
            <w:tcW w:w="4320" w:type="dxa"/>
          </w:tcPr>
          <w:p w14:paraId="5510EF6C" w14:textId="77777777" w:rsidR="00A36C6F" w:rsidRDefault="00000000">
            <w:r>
              <w:t>Acceptance Notification</w:t>
            </w:r>
          </w:p>
        </w:tc>
        <w:tc>
          <w:tcPr>
            <w:tcW w:w="4320" w:type="dxa"/>
          </w:tcPr>
          <w:p w14:paraId="05BDDFF9" w14:textId="77777777" w:rsidR="00A36C6F" w:rsidRDefault="00000000">
            <w:r>
              <w:t>October 15, 2026</w:t>
            </w:r>
          </w:p>
        </w:tc>
      </w:tr>
      <w:tr w:rsidR="00A36C6F" w14:paraId="606C5E65" w14:textId="77777777">
        <w:tc>
          <w:tcPr>
            <w:tcW w:w="4320" w:type="dxa"/>
          </w:tcPr>
          <w:p w14:paraId="7ADAE11A" w14:textId="77777777" w:rsidR="00A36C6F" w:rsidRDefault="00000000">
            <w:r>
              <w:t>Camera-Ready Submission</w:t>
            </w:r>
          </w:p>
        </w:tc>
        <w:tc>
          <w:tcPr>
            <w:tcW w:w="4320" w:type="dxa"/>
          </w:tcPr>
          <w:p w14:paraId="39FAAA84" w14:textId="77777777" w:rsidR="00A36C6F" w:rsidRDefault="00000000">
            <w:r>
              <w:t>November 01, 2026</w:t>
            </w:r>
          </w:p>
        </w:tc>
      </w:tr>
      <w:tr w:rsidR="00A36C6F" w14:paraId="3D1C37F7" w14:textId="77777777">
        <w:tc>
          <w:tcPr>
            <w:tcW w:w="4320" w:type="dxa"/>
          </w:tcPr>
          <w:p w14:paraId="386E3DBB" w14:textId="77777777" w:rsidR="00A36C6F" w:rsidRDefault="00000000">
            <w:r>
              <w:t>Conference Dates</w:t>
            </w:r>
          </w:p>
        </w:tc>
        <w:tc>
          <w:tcPr>
            <w:tcW w:w="4320" w:type="dxa"/>
          </w:tcPr>
          <w:p w14:paraId="7842FE21" w14:textId="77777777" w:rsidR="00A36C6F" w:rsidRDefault="00000000">
            <w:r>
              <w:t>December 3–5, 2026</w:t>
            </w:r>
          </w:p>
        </w:tc>
      </w:tr>
    </w:tbl>
    <w:p w14:paraId="7E9BE1DB" w14:textId="77777777" w:rsidR="00A36C6F" w:rsidRDefault="00A36C6F"/>
    <w:p w14:paraId="3D349AAD" w14:textId="37F812E2" w:rsidR="00A36C6F" w:rsidRDefault="00A36C6F"/>
    <w:sectPr w:rsidR="00A36C6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276401">
    <w:abstractNumId w:val="8"/>
  </w:num>
  <w:num w:numId="2" w16cid:durableId="147326849">
    <w:abstractNumId w:val="6"/>
  </w:num>
  <w:num w:numId="3" w16cid:durableId="1617250273">
    <w:abstractNumId w:val="5"/>
  </w:num>
  <w:num w:numId="4" w16cid:durableId="2001886272">
    <w:abstractNumId w:val="4"/>
  </w:num>
  <w:num w:numId="5" w16cid:durableId="1597135833">
    <w:abstractNumId w:val="7"/>
  </w:num>
  <w:num w:numId="6" w16cid:durableId="1852793875">
    <w:abstractNumId w:val="3"/>
  </w:num>
  <w:num w:numId="7" w16cid:durableId="1861354361">
    <w:abstractNumId w:val="2"/>
  </w:num>
  <w:num w:numId="8" w16cid:durableId="105469504">
    <w:abstractNumId w:val="1"/>
  </w:num>
  <w:num w:numId="9" w16cid:durableId="1281255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5D4"/>
    <w:rsid w:val="0015074B"/>
    <w:rsid w:val="0029639D"/>
    <w:rsid w:val="00326F90"/>
    <w:rsid w:val="00741F6C"/>
    <w:rsid w:val="00774A5D"/>
    <w:rsid w:val="00A36C6F"/>
    <w:rsid w:val="00A97112"/>
    <w:rsid w:val="00AA1D8D"/>
    <w:rsid w:val="00B47730"/>
    <w:rsid w:val="00CB0664"/>
    <w:rsid w:val="00F053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68016E"/>
  <w14:defaultImageDpi w14:val="300"/>
  <w15:docId w15:val="{8B6606E9-974D-40BF-BA09-F5C317906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F6C"/>
    <w:pPr>
      <w:jc w:val="both"/>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94836">
      <w:bodyDiv w:val="1"/>
      <w:marLeft w:val="0"/>
      <w:marRight w:val="0"/>
      <w:marTop w:val="0"/>
      <w:marBottom w:val="0"/>
      <w:divBdr>
        <w:top w:val="none" w:sz="0" w:space="0" w:color="auto"/>
        <w:left w:val="none" w:sz="0" w:space="0" w:color="auto"/>
        <w:bottom w:val="none" w:sz="0" w:space="0" w:color="auto"/>
        <w:right w:val="none" w:sz="0" w:space="0" w:color="auto"/>
      </w:divBdr>
    </w:div>
    <w:div w:id="211625671">
      <w:bodyDiv w:val="1"/>
      <w:marLeft w:val="0"/>
      <w:marRight w:val="0"/>
      <w:marTop w:val="0"/>
      <w:marBottom w:val="0"/>
      <w:divBdr>
        <w:top w:val="none" w:sz="0" w:space="0" w:color="auto"/>
        <w:left w:val="none" w:sz="0" w:space="0" w:color="auto"/>
        <w:bottom w:val="none" w:sz="0" w:space="0" w:color="auto"/>
        <w:right w:val="none" w:sz="0" w:space="0" w:color="auto"/>
      </w:divBdr>
    </w:div>
    <w:div w:id="1282805540">
      <w:bodyDiv w:val="1"/>
      <w:marLeft w:val="0"/>
      <w:marRight w:val="0"/>
      <w:marTop w:val="0"/>
      <w:marBottom w:val="0"/>
      <w:divBdr>
        <w:top w:val="none" w:sz="0" w:space="0" w:color="auto"/>
        <w:left w:val="none" w:sz="0" w:space="0" w:color="auto"/>
        <w:bottom w:val="none" w:sz="0" w:space="0" w:color="auto"/>
        <w:right w:val="none" w:sz="0" w:space="0" w:color="auto"/>
      </w:divBdr>
    </w:div>
    <w:div w:id="13398902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417</Words>
  <Characters>2382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2013-12-23T23:15:00Z</dcterms:created>
  <dcterms:modified xsi:type="dcterms:W3CDTF">2026-09-21T23:17:00Z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ea796d8b-2c7c-4be3-bf17-aa68965ea319</vt:lpwstr>
  </property>
</Properties>
</file>