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EC57BA" w14:textId="77777777" w:rsidR="002921AD" w:rsidRDefault="00000000">
      <w:pPr>
        <w:pStyle w:val="Title"/>
        <w:jc w:val="center"/>
      </w:pPr>
      <w:r>
        <w:t>TAIIS 2026</w:t>
      </w:r>
    </w:p>
    <w:p w14:paraId="75EE3862" w14:textId="77777777" w:rsidR="002921AD" w:rsidRDefault="00000000">
      <w:pPr>
        <w:jc w:val="center"/>
      </w:pPr>
      <w:r>
        <w:rPr>
          <w:b/>
          <w:sz w:val="28"/>
        </w:rPr>
        <w:t>Special Session: SS6</w:t>
      </w:r>
    </w:p>
    <w:p w14:paraId="4EF6022F" w14:textId="77777777" w:rsidR="002921AD" w:rsidRDefault="00000000">
      <w:pPr>
        <w:pStyle w:val="IntenseQuote"/>
        <w:jc w:val="center"/>
      </w:pPr>
      <w:r>
        <w:t>Special session on AI, IoT and Innovation Management for Sustainable Digital Enterprises</w:t>
      </w:r>
    </w:p>
    <w:p w14:paraId="4EBEA535" w14:textId="77777777" w:rsidR="002921AD" w:rsidRDefault="002921AD"/>
    <w:p w14:paraId="02D4BDD2" w14:textId="77777777" w:rsidR="002921AD" w:rsidRDefault="00000000">
      <w:pPr>
        <w:pStyle w:val="Heading1"/>
      </w:pPr>
      <w:r>
        <w:t>Aim and Scope</w:t>
      </w:r>
    </w:p>
    <w:p w14:paraId="3682D36B" w14:textId="77777777" w:rsidR="002921AD" w:rsidRDefault="00000000">
      <w:r>
        <w:t>Digital enterprises are restructuring around AI and IoT platforms that connect products, factories, logistics, and customer experiences into continuous feedback loops for innovation and sustainability reporting. Intelligent sensing and analytics enable circular economy initiatives, energy optimization, and data-driven business models, but they also intensify complexity: fragmented IoT estates, overlapping AI pilots, and unclear ownership of ESG metrics across business units. Innovation managers face portfolio overload, uncertain ROI from AI–IoT investments, and misalignment between R&amp;D, IT, and operations. Implementation reveals integration debt with ERP, CRM, and legacy OT, while greenwashing risks emerge when IoT-derived sustainability claims lack auditable methodology. Competitive pressure and regulatory disclosure requirements (climate, supply chain due diligence) demand that innovation management embed trustworthiness, interoperability, and measurable environmental outcomes—not merely deploy disconnected proofs of concept.</w:t>
      </w:r>
    </w:p>
    <w:p w14:paraId="53F57734" w14:textId="77777777" w:rsidR="002921AD" w:rsidRDefault="00000000">
      <w:r>
        <w:t>Special session SS6 on AI, IoT and Innovation Management for Sustainable Digital Enterprises explores how intelligent technologies enable sustainable business models, innovation pipelines, and digital maturity in modern organizations. The session welcomes empirical studies, action research, strategic frameworks, and case analyses linking IoT data products, AI analytics, ESG measurement, and innovation governance. It offers an internationally leading forum enabling management scholars, CIOs, sustainability officers, and engineering leaders to co-design AI–IoT innovation that is economically viable, environmentally responsible, and organizationally sustainable.</w:t>
      </w:r>
    </w:p>
    <w:p w14:paraId="0AEAF3BD" w14:textId="77777777" w:rsidR="002921AD" w:rsidRDefault="00000000">
      <w:pPr>
        <w:pStyle w:val="Heading1"/>
      </w:pPr>
      <w:r>
        <w:t>List of Topics</w:t>
      </w:r>
    </w:p>
    <w:p w14:paraId="72955813" w14:textId="77777777" w:rsidR="002921AD" w:rsidRDefault="00000000">
      <w:pPr>
        <w:pStyle w:val="ListBullet"/>
      </w:pPr>
      <w:r>
        <w:t>AI–IoT strategy, roadmaps, and digital transformation governance</w:t>
      </w:r>
    </w:p>
    <w:p w14:paraId="6660B681" w14:textId="77777777" w:rsidR="002921AD" w:rsidRDefault="00000000">
      <w:pPr>
        <w:pStyle w:val="ListBullet"/>
      </w:pPr>
      <w:r>
        <w:t>Innovation management, open innovation, and corporate venturing with IoT</w:t>
      </w:r>
    </w:p>
    <w:p w14:paraId="27465865" w14:textId="77777777" w:rsidR="002921AD" w:rsidRDefault="00000000">
      <w:pPr>
        <w:pStyle w:val="ListBullet"/>
      </w:pPr>
      <w:r>
        <w:t>ESG analytics, carbon accounting, and auditable sustainability metrics</w:t>
      </w:r>
    </w:p>
    <w:p w14:paraId="50B9D2E3" w14:textId="77777777" w:rsidR="002921AD" w:rsidRDefault="00000000">
      <w:pPr>
        <w:pStyle w:val="ListBullet"/>
      </w:pPr>
      <w:r>
        <w:t>Circular economy and green operations enabled by intelligent sensing</w:t>
      </w:r>
    </w:p>
    <w:p w14:paraId="03DC3126" w14:textId="77777777" w:rsidR="002921AD" w:rsidRDefault="00000000">
      <w:pPr>
        <w:pStyle w:val="ListBullet"/>
      </w:pPr>
      <w:r>
        <w:t>Digital twins for enterprise planning and product–service systems</w:t>
      </w:r>
    </w:p>
    <w:p w14:paraId="31563AC0" w14:textId="77777777" w:rsidR="002921AD" w:rsidRDefault="00000000">
      <w:pPr>
        <w:pStyle w:val="ListBullet"/>
      </w:pPr>
      <w:r>
        <w:t>Platform ecosystems, IoT marketplaces, and value-network design</w:t>
      </w:r>
    </w:p>
    <w:p w14:paraId="54189737" w14:textId="77777777" w:rsidR="002921AD" w:rsidRDefault="00000000">
      <w:pPr>
        <w:pStyle w:val="ListBullet"/>
      </w:pPr>
      <w:r>
        <w:t>ROI, TCO, and portfolio management for AI–IoT investments</w:t>
      </w:r>
    </w:p>
    <w:p w14:paraId="4E6DED0D" w14:textId="77777777" w:rsidR="002921AD" w:rsidRDefault="00000000">
      <w:pPr>
        <w:pStyle w:val="ListBullet"/>
      </w:pPr>
      <w:r>
        <w:t>Organizational culture, skills, and change for intelligent enterprises</w:t>
      </w:r>
    </w:p>
    <w:p w14:paraId="6A2BDDEB" w14:textId="77777777" w:rsidR="002921AD" w:rsidRDefault="00000000">
      <w:pPr>
        <w:pStyle w:val="ListBullet"/>
      </w:pPr>
      <w:r>
        <w:lastRenderedPageBreak/>
        <w:t>Supply chain transparency, resilience, and risk analytics</w:t>
      </w:r>
    </w:p>
    <w:p w14:paraId="2FED642D" w14:textId="77777777" w:rsidR="002921AD" w:rsidRDefault="00000000">
      <w:pPr>
        <w:pStyle w:val="ListBullet"/>
      </w:pPr>
      <w:r>
        <w:t>Industry case studies of sustainable digital enterprise innovation</w:t>
      </w:r>
    </w:p>
    <w:p w14:paraId="4128EA17" w14:textId="168AC94C" w:rsidR="002921AD" w:rsidRDefault="00000000">
      <w:pPr>
        <w:pStyle w:val="Heading1"/>
      </w:pPr>
      <w:r>
        <w:t>C</w:t>
      </w:r>
      <w:r w:rsidR="00C07E7B">
        <w:t>hair</w:t>
      </w:r>
    </w:p>
    <w:p w14:paraId="2A969BA0" w14:textId="6D09F586" w:rsidR="00C07E7B" w:rsidRPr="00C07E7B" w:rsidRDefault="00C07E7B" w:rsidP="00C07E7B">
      <w:r w:rsidRPr="00C07E7B">
        <w:t>Vincent Shin-Hung Pan, Chaoyang University of Technology, Taiwan</w:t>
      </w:r>
    </w:p>
    <w:p w14:paraId="4D71D99F" w14:textId="77777777" w:rsidR="002921AD" w:rsidRDefault="00000000">
      <w:pPr>
        <w:pStyle w:val="Heading1"/>
      </w:pPr>
      <w:r>
        <w:t>Submission Dates</w:t>
      </w:r>
    </w:p>
    <w:tbl>
      <w:tblPr>
        <w:tblStyle w:val="TableGrid"/>
        <w:tblW w:w="0" w:type="auto"/>
        <w:tblLook w:val="04A0" w:firstRow="1" w:lastRow="0" w:firstColumn="1" w:lastColumn="0" w:noHBand="0" w:noVBand="1"/>
      </w:tblPr>
      <w:tblGrid>
        <w:gridCol w:w="4320"/>
        <w:gridCol w:w="4320"/>
      </w:tblGrid>
      <w:tr w:rsidR="002921AD" w14:paraId="0B228C11" w14:textId="77777777">
        <w:tc>
          <w:tcPr>
            <w:tcW w:w="4320" w:type="dxa"/>
          </w:tcPr>
          <w:p w14:paraId="23B692DD" w14:textId="77777777" w:rsidR="002921AD" w:rsidRDefault="00000000">
            <w:r>
              <w:rPr>
                <w:b/>
              </w:rPr>
              <w:t>Milestone</w:t>
            </w:r>
          </w:p>
        </w:tc>
        <w:tc>
          <w:tcPr>
            <w:tcW w:w="4320" w:type="dxa"/>
          </w:tcPr>
          <w:p w14:paraId="2E2CE38E" w14:textId="77777777" w:rsidR="002921AD" w:rsidRDefault="00000000">
            <w:r>
              <w:rPr>
                <w:b/>
              </w:rPr>
              <w:t>Date</w:t>
            </w:r>
          </w:p>
        </w:tc>
      </w:tr>
      <w:tr w:rsidR="002921AD" w14:paraId="3296AC46" w14:textId="77777777">
        <w:tc>
          <w:tcPr>
            <w:tcW w:w="4320" w:type="dxa"/>
          </w:tcPr>
          <w:p w14:paraId="4764149C" w14:textId="77777777" w:rsidR="002921AD" w:rsidRDefault="00000000">
            <w:r>
              <w:t>Paper Submission Deadline</w:t>
            </w:r>
          </w:p>
        </w:tc>
        <w:tc>
          <w:tcPr>
            <w:tcW w:w="4320" w:type="dxa"/>
          </w:tcPr>
          <w:p w14:paraId="6577737F" w14:textId="77777777" w:rsidR="002921AD" w:rsidRDefault="00000000">
            <w:r>
              <w:t>September 30, 2026</w:t>
            </w:r>
          </w:p>
        </w:tc>
      </w:tr>
      <w:tr w:rsidR="002921AD" w14:paraId="164DA168" w14:textId="77777777">
        <w:tc>
          <w:tcPr>
            <w:tcW w:w="4320" w:type="dxa"/>
          </w:tcPr>
          <w:p w14:paraId="595BCACD" w14:textId="77777777" w:rsidR="002921AD" w:rsidRDefault="00000000">
            <w:r>
              <w:t>Acceptance Notification</w:t>
            </w:r>
          </w:p>
        </w:tc>
        <w:tc>
          <w:tcPr>
            <w:tcW w:w="4320" w:type="dxa"/>
          </w:tcPr>
          <w:p w14:paraId="317FFE5A" w14:textId="77777777" w:rsidR="002921AD" w:rsidRDefault="00000000">
            <w:r>
              <w:t>October 15, 2026</w:t>
            </w:r>
          </w:p>
        </w:tc>
      </w:tr>
      <w:tr w:rsidR="002921AD" w14:paraId="2F47AF75" w14:textId="77777777">
        <w:tc>
          <w:tcPr>
            <w:tcW w:w="4320" w:type="dxa"/>
          </w:tcPr>
          <w:p w14:paraId="3B35DD09" w14:textId="77777777" w:rsidR="002921AD" w:rsidRDefault="00000000">
            <w:r>
              <w:t>Camera-Ready Submission</w:t>
            </w:r>
          </w:p>
        </w:tc>
        <w:tc>
          <w:tcPr>
            <w:tcW w:w="4320" w:type="dxa"/>
          </w:tcPr>
          <w:p w14:paraId="1C6D7C56" w14:textId="77777777" w:rsidR="002921AD" w:rsidRDefault="00000000">
            <w:r>
              <w:t>November 01, 2026</w:t>
            </w:r>
          </w:p>
        </w:tc>
      </w:tr>
      <w:tr w:rsidR="002921AD" w14:paraId="28086BBE" w14:textId="77777777">
        <w:tc>
          <w:tcPr>
            <w:tcW w:w="4320" w:type="dxa"/>
          </w:tcPr>
          <w:p w14:paraId="6C22E887" w14:textId="77777777" w:rsidR="002921AD" w:rsidRDefault="00000000">
            <w:r>
              <w:t>Conference Dates</w:t>
            </w:r>
          </w:p>
        </w:tc>
        <w:tc>
          <w:tcPr>
            <w:tcW w:w="4320" w:type="dxa"/>
          </w:tcPr>
          <w:p w14:paraId="123F78C2" w14:textId="77777777" w:rsidR="002921AD" w:rsidRDefault="00000000">
            <w:r>
              <w:t>December 3–5, 2026</w:t>
            </w:r>
          </w:p>
        </w:tc>
      </w:tr>
    </w:tbl>
    <w:p w14:paraId="661A1384" w14:textId="77777777" w:rsidR="002921AD" w:rsidRDefault="002921AD"/>
    <w:p w14:paraId="116B9156" w14:textId="01C6D8BF" w:rsidR="002921AD" w:rsidRDefault="002921AD"/>
    <w:sectPr w:rsidR="002921A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6697501">
    <w:abstractNumId w:val="8"/>
  </w:num>
  <w:num w:numId="2" w16cid:durableId="1926500903">
    <w:abstractNumId w:val="6"/>
  </w:num>
  <w:num w:numId="3" w16cid:durableId="1212499709">
    <w:abstractNumId w:val="5"/>
  </w:num>
  <w:num w:numId="4" w16cid:durableId="1376537506">
    <w:abstractNumId w:val="4"/>
  </w:num>
  <w:num w:numId="5" w16cid:durableId="634915759">
    <w:abstractNumId w:val="7"/>
  </w:num>
  <w:num w:numId="6" w16cid:durableId="1459108712">
    <w:abstractNumId w:val="3"/>
  </w:num>
  <w:num w:numId="7" w16cid:durableId="685324296">
    <w:abstractNumId w:val="2"/>
  </w:num>
  <w:num w:numId="8" w16cid:durableId="1920165236">
    <w:abstractNumId w:val="1"/>
  </w:num>
  <w:num w:numId="9" w16cid:durableId="16253057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8"/>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21AD"/>
    <w:rsid w:val="0029639D"/>
    <w:rsid w:val="00326F90"/>
    <w:rsid w:val="003935A8"/>
    <w:rsid w:val="00774A5D"/>
    <w:rsid w:val="00A97112"/>
    <w:rsid w:val="00AA1D8D"/>
    <w:rsid w:val="00B47730"/>
    <w:rsid w:val="00C07E7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7236AE"/>
  <w14:defaultImageDpi w14:val="300"/>
  <w15:docId w15:val="{8B6606E9-974D-40BF-BA09-F5C317906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35A8"/>
    <w:pPr>
      <w:jc w:val="both"/>
    </w:p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417</Words>
  <Characters>2382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3</cp:revision>
  <dcterms:created xsi:type="dcterms:W3CDTF">2013-12-23T23:15:00Z</dcterms:created>
  <dcterms:modified xsi:type="dcterms:W3CDTF">2026-09-21T23:18:00Z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6420b477-7a19-40c2-8a41-633329bfa276</vt:lpwstr>
  </property>
</Properties>
</file>