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7247A3" w14:textId="77777777" w:rsidR="00E87BC9" w:rsidRDefault="00000000">
      <w:pPr>
        <w:pStyle w:val="Title"/>
        <w:jc w:val="center"/>
      </w:pPr>
      <w:r>
        <w:t>TAIIS 2026</w:t>
      </w:r>
    </w:p>
    <w:p w14:paraId="4C32FF52" w14:textId="77777777" w:rsidR="00E87BC9" w:rsidRDefault="00000000">
      <w:pPr>
        <w:jc w:val="center"/>
      </w:pPr>
      <w:r>
        <w:rPr>
          <w:b/>
          <w:sz w:val="28"/>
        </w:rPr>
        <w:t>Special Session: SS7</w:t>
      </w:r>
    </w:p>
    <w:p w14:paraId="5B79D517" w14:textId="77777777" w:rsidR="00E87BC9" w:rsidRDefault="00000000">
      <w:pPr>
        <w:pStyle w:val="IntenseQuote"/>
        <w:jc w:val="center"/>
      </w:pPr>
      <w:r>
        <w:t>Digital Twins, AI and IoT for Cyber-Physical Systems and Smart Infrastructure</w:t>
      </w:r>
    </w:p>
    <w:p w14:paraId="6BF0A733" w14:textId="77777777" w:rsidR="00E87BC9" w:rsidRDefault="00E87BC9"/>
    <w:p w14:paraId="0A4B3330" w14:textId="77777777" w:rsidR="00E87BC9" w:rsidRDefault="00000000">
      <w:pPr>
        <w:pStyle w:val="Heading1"/>
      </w:pPr>
      <w:r>
        <w:t>Aim and Scope</w:t>
      </w:r>
    </w:p>
    <w:p w14:paraId="01F75C08" w14:textId="77777777" w:rsidR="00E87BC9" w:rsidRDefault="00000000">
      <w:r>
        <w:t>Cyber-physical systems and smart infrastructure— spanning energy grids, transport networks, water utilities, and smart buildings—are increasingly instrumented with IoT sensing and mirrored by digital twins that simulate, predict, and optimize physical assets in near real time. These twins promise reduced downtime, safer operation, and better capital planning, yet constructing and maintaining faithful virtual models across heterogeneous assets, vendors, and legacy SCADA remains profoundly difficult. Engineers contend with model drift, incomplete BIM/GIS integration, bandwidth limits for high-frequency sync, and conflicting time bases between field devices and cloud analytics. When twins drive automated control or maintenance dispatch, erroneous synchronization or corrupted telemetry can propagate into unsafe recommendations. Security and data integrity across twin pipelines introduce additional attack vectors, while interoperability standards (ISO 23247, OPC UA, MQTT) are unevenly adopted. AI layers atop twins add opacity unless explainability and validation are built into operational workflows from the outset.</w:t>
      </w:r>
    </w:p>
    <w:p w14:paraId="09925D1A" w14:textId="77777777" w:rsidR="00E87BC9" w:rsidRDefault="00000000">
      <w:r>
        <w:t>Special session SS7 on Digital Twins, AI and IoT for Cyber-Physical Systems and Smart Infrastructure addresses twin construction, real-time synchronization, hybrid physics–data modeling, AI-driven simulation, and trustworthy decision support for critical infrastructure. The session invites architectures, algorithms, deployments, and security analyses across smart city, utility, and industrial domains. It offers a premier interdisciplinary forum enabling CPS researchers, civil and infrastructure engineers, and IoT architects to advance resilient, intelligent twins for society-scale systems.</w:t>
      </w:r>
    </w:p>
    <w:p w14:paraId="4F0A58C8" w14:textId="77777777" w:rsidR="00E87BC9" w:rsidRDefault="00000000">
      <w:pPr>
        <w:pStyle w:val="Heading1"/>
      </w:pPr>
      <w:r>
        <w:t>List of Topics</w:t>
      </w:r>
    </w:p>
    <w:p w14:paraId="5AFCD32D" w14:textId="77777777" w:rsidR="00E87BC9" w:rsidRDefault="00000000">
      <w:pPr>
        <w:pStyle w:val="ListBullet"/>
      </w:pPr>
      <w:r>
        <w:t>Digital twin reference architectures for CPS and smart infrastructure</w:t>
      </w:r>
    </w:p>
    <w:p w14:paraId="303E50CC" w14:textId="77777777" w:rsidR="00E87BC9" w:rsidRDefault="00000000">
      <w:pPr>
        <w:pStyle w:val="ListBullet"/>
      </w:pPr>
      <w:r>
        <w:t>Real-time synchronization and edge–cloud twin pipelines</w:t>
      </w:r>
    </w:p>
    <w:p w14:paraId="61AE67B7" w14:textId="77777777" w:rsidR="00E87BC9" w:rsidRDefault="00000000">
      <w:pPr>
        <w:pStyle w:val="ListBullet"/>
      </w:pPr>
      <w:r>
        <w:t>Hybrid physics-informed and data-driven twin modeling</w:t>
      </w:r>
    </w:p>
    <w:p w14:paraId="7ACDCDDD" w14:textId="77777777" w:rsidR="00E87BC9" w:rsidRDefault="00000000">
      <w:pPr>
        <w:pStyle w:val="ListBullet"/>
      </w:pPr>
      <w:r>
        <w:t>AI-driven forecasting, optimization, and control support</w:t>
      </w:r>
    </w:p>
    <w:p w14:paraId="445F9730" w14:textId="77777777" w:rsidR="00E87BC9" w:rsidRDefault="00000000">
      <w:pPr>
        <w:pStyle w:val="ListBullet"/>
      </w:pPr>
      <w:r>
        <w:t>Security, provenance, and integrity of twin data spaces</w:t>
      </w:r>
    </w:p>
    <w:p w14:paraId="2237E8AD" w14:textId="77777777" w:rsidR="00E87BC9" w:rsidRDefault="00000000">
      <w:pPr>
        <w:pStyle w:val="ListBullet"/>
      </w:pPr>
      <w:r>
        <w:t>Smart grids, mobility, water, and building infrastructure twins</w:t>
      </w:r>
    </w:p>
    <w:p w14:paraId="55E5FF53" w14:textId="77777777" w:rsidR="00E87BC9" w:rsidRDefault="00000000">
      <w:pPr>
        <w:pStyle w:val="ListBullet"/>
      </w:pPr>
      <w:r>
        <w:t>BIM/GIS/IoT integration and geospatial digital threads</w:t>
      </w:r>
    </w:p>
    <w:p w14:paraId="7381021E" w14:textId="77777777" w:rsidR="00E87BC9" w:rsidRDefault="00000000">
      <w:pPr>
        <w:pStyle w:val="ListBullet"/>
      </w:pPr>
      <w:r>
        <w:t>Predictive maintenance and asset lifecycle analytics via twins</w:t>
      </w:r>
    </w:p>
    <w:p w14:paraId="373B397A" w14:textId="77777777" w:rsidR="00E87BC9" w:rsidRDefault="00000000">
      <w:pPr>
        <w:pStyle w:val="ListBullet"/>
      </w:pPr>
      <w:r>
        <w:lastRenderedPageBreak/>
        <w:t>Interoperability (ISO 23247, OPC UA, MQTT, oneM2M)</w:t>
      </w:r>
    </w:p>
    <w:p w14:paraId="7618CB78" w14:textId="77777777" w:rsidR="00E87BC9" w:rsidRDefault="00000000">
      <w:pPr>
        <w:pStyle w:val="ListBullet"/>
      </w:pPr>
      <w:r>
        <w:t>Operations-center UX and human oversight of twin-driven decisions</w:t>
      </w:r>
    </w:p>
    <w:p w14:paraId="3042A5BE" w14:textId="1B167E31" w:rsidR="00E87BC9" w:rsidRDefault="00000000">
      <w:pPr>
        <w:pStyle w:val="Heading1"/>
      </w:pPr>
      <w:r>
        <w:t>C</w:t>
      </w:r>
      <w:r w:rsidR="00D94DED">
        <w:t>hair</w:t>
      </w:r>
    </w:p>
    <w:p w14:paraId="4E768E08" w14:textId="60C2AD6E" w:rsidR="00D94DED" w:rsidRPr="00D94DED" w:rsidRDefault="00D94DED" w:rsidP="00D94DED">
      <w:r w:rsidRPr="00D94DED">
        <w:t>Mamta, PEC University, Chandigarh, India</w:t>
      </w:r>
    </w:p>
    <w:p w14:paraId="4D115783" w14:textId="77777777" w:rsidR="00E87BC9" w:rsidRDefault="00000000">
      <w:pPr>
        <w:pStyle w:val="Heading1"/>
      </w:pPr>
      <w:r>
        <w:t>Submission Dates</w:t>
      </w:r>
    </w:p>
    <w:tbl>
      <w:tblPr>
        <w:tblStyle w:val="TableGrid"/>
        <w:tblW w:w="0" w:type="auto"/>
        <w:tblLook w:val="04A0" w:firstRow="1" w:lastRow="0" w:firstColumn="1" w:lastColumn="0" w:noHBand="0" w:noVBand="1"/>
      </w:tblPr>
      <w:tblGrid>
        <w:gridCol w:w="4320"/>
        <w:gridCol w:w="4320"/>
      </w:tblGrid>
      <w:tr w:rsidR="00E87BC9" w14:paraId="63FAF1E4" w14:textId="77777777">
        <w:tc>
          <w:tcPr>
            <w:tcW w:w="4320" w:type="dxa"/>
          </w:tcPr>
          <w:p w14:paraId="2D570C64" w14:textId="77777777" w:rsidR="00E87BC9" w:rsidRDefault="00000000">
            <w:r>
              <w:rPr>
                <w:b/>
              </w:rPr>
              <w:t>Milestone</w:t>
            </w:r>
          </w:p>
        </w:tc>
        <w:tc>
          <w:tcPr>
            <w:tcW w:w="4320" w:type="dxa"/>
          </w:tcPr>
          <w:p w14:paraId="7F831CF5" w14:textId="77777777" w:rsidR="00E87BC9" w:rsidRDefault="00000000">
            <w:r>
              <w:rPr>
                <w:b/>
              </w:rPr>
              <w:t>Date</w:t>
            </w:r>
          </w:p>
        </w:tc>
      </w:tr>
      <w:tr w:rsidR="00E87BC9" w14:paraId="00F7E546" w14:textId="77777777">
        <w:tc>
          <w:tcPr>
            <w:tcW w:w="4320" w:type="dxa"/>
          </w:tcPr>
          <w:p w14:paraId="2D1EA0A7" w14:textId="77777777" w:rsidR="00E87BC9" w:rsidRDefault="00000000">
            <w:r>
              <w:t>Paper Submission Deadline</w:t>
            </w:r>
          </w:p>
        </w:tc>
        <w:tc>
          <w:tcPr>
            <w:tcW w:w="4320" w:type="dxa"/>
          </w:tcPr>
          <w:p w14:paraId="0B0604EE" w14:textId="77777777" w:rsidR="00E87BC9" w:rsidRDefault="00000000">
            <w:r>
              <w:t>September 30, 2026</w:t>
            </w:r>
          </w:p>
        </w:tc>
      </w:tr>
      <w:tr w:rsidR="00E87BC9" w14:paraId="12C0B512" w14:textId="77777777">
        <w:tc>
          <w:tcPr>
            <w:tcW w:w="4320" w:type="dxa"/>
          </w:tcPr>
          <w:p w14:paraId="4123547E" w14:textId="77777777" w:rsidR="00E87BC9" w:rsidRDefault="00000000">
            <w:r>
              <w:t>Acceptance Notification</w:t>
            </w:r>
          </w:p>
        </w:tc>
        <w:tc>
          <w:tcPr>
            <w:tcW w:w="4320" w:type="dxa"/>
          </w:tcPr>
          <w:p w14:paraId="036D4A1C" w14:textId="77777777" w:rsidR="00E87BC9" w:rsidRDefault="00000000">
            <w:r>
              <w:t>October 15, 2026</w:t>
            </w:r>
          </w:p>
        </w:tc>
      </w:tr>
      <w:tr w:rsidR="00E87BC9" w14:paraId="73CF1F8E" w14:textId="77777777">
        <w:tc>
          <w:tcPr>
            <w:tcW w:w="4320" w:type="dxa"/>
          </w:tcPr>
          <w:p w14:paraId="05EF1D0E" w14:textId="77777777" w:rsidR="00E87BC9" w:rsidRDefault="00000000">
            <w:r>
              <w:t>Camera-Ready Submission</w:t>
            </w:r>
          </w:p>
        </w:tc>
        <w:tc>
          <w:tcPr>
            <w:tcW w:w="4320" w:type="dxa"/>
          </w:tcPr>
          <w:p w14:paraId="413A4753" w14:textId="77777777" w:rsidR="00E87BC9" w:rsidRDefault="00000000">
            <w:r>
              <w:t>November 01, 2026</w:t>
            </w:r>
          </w:p>
        </w:tc>
      </w:tr>
      <w:tr w:rsidR="00E87BC9" w14:paraId="68042118" w14:textId="77777777">
        <w:tc>
          <w:tcPr>
            <w:tcW w:w="4320" w:type="dxa"/>
          </w:tcPr>
          <w:p w14:paraId="6BFA73B5" w14:textId="77777777" w:rsidR="00E87BC9" w:rsidRDefault="00000000">
            <w:r>
              <w:t>Conference Dates</w:t>
            </w:r>
          </w:p>
        </w:tc>
        <w:tc>
          <w:tcPr>
            <w:tcW w:w="4320" w:type="dxa"/>
          </w:tcPr>
          <w:p w14:paraId="0235E0F7" w14:textId="77777777" w:rsidR="00E87BC9" w:rsidRDefault="00000000">
            <w:r>
              <w:t>December 3–5, 2026</w:t>
            </w:r>
          </w:p>
        </w:tc>
      </w:tr>
    </w:tbl>
    <w:p w14:paraId="01768CDC" w14:textId="77777777" w:rsidR="00E87BC9" w:rsidRDefault="00E87BC9"/>
    <w:p w14:paraId="3C06970F" w14:textId="414B1439" w:rsidR="00E87BC9" w:rsidRDefault="00E87BC9"/>
    <w:sectPr w:rsidR="00E87BC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98295907">
    <w:abstractNumId w:val="8"/>
  </w:num>
  <w:num w:numId="2" w16cid:durableId="894703498">
    <w:abstractNumId w:val="6"/>
  </w:num>
  <w:num w:numId="3" w16cid:durableId="846793303">
    <w:abstractNumId w:val="5"/>
  </w:num>
  <w:num w:numId="4" w16cid:durableId="1329211963">
    <w:abstractNumId w:val="4"/>
  </w:num>
  <w:num w:numId="5" w16cid:durableId="1453480649">
    <w:abstractNumId w:val="7"/>
  </w:num>
  <w:num w:numId="6" w16cid:durableId="1575705682">
    <w:abstractNumId w:val="3"/>
  </w:num>
  <w:num w:numId="7" w16cid:durableId="1318456949">
    <w:abstractNumId w:val="2"/>
  </w:num>
  <w:num w:numId="8" w16cid:durableId="1360399398">
    <w:abstractNumId w:val="1"/>
  </w:num>
  <w:num w:numId="9" w16cid:durableId="18708029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8"/>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2714"/>
    <w:rsid w:val="0015074B"/>
    <w:rsid w:val="0029639D"/>
    <w:rsid w:val="00326F90"/>
    <w:rsid w:val="00774A5D"/>
    <w:rsid w:val="0095690C"/>
    <w:rsid w:val="00A97112"/>
    <w:rsid w:val="00AA1D8D"/>
    <w:rsid w:val="00B47730"/>
    <w:rsid w:val="00CB0664"/>
    <w:rsid w:val="00D94DED"/>
    <w:rsid w:val="00E87B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2CD72F"/>
  <w14:defaultImageDpi w14:val="300"/>
  <w15:docId w15:val="{8B6606E9-974D-40BF-BA09-F5C317906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690C"/>
    <w:pPr>
      <w:jc w:val="both"/>
    </w:p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404</Words>
  <Characters>2303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4</cp:revision>
  <dcterms:created xsi:type="dcterms:W3CDTF">2013-12-23T23:15:00Z</dcterms:created>
  <dcterms:modified xsi:type="dcterms:W3CDTF">2026-09-21T23:18:00Z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8e17576f-a91a-4196-ad1a-3c1281916fc4</vt:lpwstr>
  </property>
</Properties>
</file>