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8B0CD" w14:textId="77777777" w:rsidR="005529D3" w:rsidRDefault="00000000">
      <w:pPr>
        <w:pStyle w:val="Title"/>
        <w:jc w:val="center"/>
      </w:pPr>
      <w:r>
        <w:t>TAIIS 2026</w:t>
      </w:r>
    </w:p>
    <w:p w14:paraId="2E138157" w14:textId="77777777" w:rsidR="005529D3" w:rsidRDefault="00000000">
      <w:pPr>
        <w:jc w:val="center"/>
      </w:pPr>
      <w:r>
        <w:rPr>
          <w:b/>
          <w:sz w:val="28"/>
        </w:rPr>
        <w:t>Workshop: WS2</w:t>
      </w:r>
    </w:p>
    <w:p w14:paraId="3D55AA6B" w14:textId="77777777" w:rsidR="005529D3" w:rsidRDefault="00000000">
      <w:pPr>
        <w:pStyle w:val="IntenseQuote"/>
        <w:jc w:val="center"/>
      </w:pPr>
      <w:r>
        <w:t>Intelligent Business Analytics, AI-Enabled Decision Support and Digital Management</w:t>
      </w:r>
    </w:p>
    <w:p w14:paraId="1A778D1C" w14:textId="77777777" w:rsidR="005529D3" w:rsidRDefault="00000000">
      <w:pPr>
        <w:jc w:val="center"/>
      </w:pPr>
      <w:r>
        <w:t>(AI-BADM)</w:t>
      </w:r>
    </w:p>
    <w:p w14:paraId="776D3486" w14:textId="77777777" w:rsidR="005529D3" w:rsidRDefault="005529D3"/>
    <w:p w14:paraId="3384F237" w14:textId="77777777" w:rsidR="005529D3" w:rsidRDefault="00000000">
      <w:pPr>
        <w:pStyle w:val="Heading1"/>
      </w:pPr>
      <w:r>
        <w:t>Aim and Scope</w:t>
      </w:r>
    </w:p>
    <w:p w14:paraId="0E4CF370" w14:textId="77777777" w:rsidR="005529D3" w:rsidRDefault="00000000">
      <w:r>
        <w:t>Enterprises are inundated with IoT-generated events—from retail footfall and cold-chain sensors to industrial throughput and facility energy meters—that could fuel continuous, AI-enabled decision support if data products were trustworthy, timely, and organizationally actionable. Instead, many firms operate fragmented dashboards, duplicated KPI definitions, and shadow AI experiments disconnected from ERP, CRM, and compliance workflows. Executives require explainable recommendations under regulatory scrutiny, while operational teams need prescriptive analytics that respect data sovereignty and role-based access. Design of intelligent business analytics platforms must reconcile batch BI heritage with streaming IoT, causal inference demands, and low-code adoption by non-specialists. In deployment, poor data quality, missing lineage, and opaque models erode confidence in automated decisions affecting pricing, staffing, inventory, and risk. Digital management therefore faces a structural gap between IoT connectivity and accountable, AI-enabled enterprise governance.</w:t>
      </w:r>
    </w:p>
    <w:p w14:paraId="3923BFCB" w14:textId="77777777" w:rsidR="005529D3" w:rsidRDefault="00000000">
      <w:r>
        <w:t>Workshop AI-BADM (Intelligent Business Analytics, AI-Enabled Decision Support and Digital Management) addresses this gap through prescriptive and causal analytics, process mining, IoT data products, intelligent dashboards, and integration with enterprise systems. The workshop welcomes methodological advances, platform architectures, and sector case studies in finance, retail, services, and public administration. It offers a premier interdisciplinary forum enabling analytics researchers, CIOs, and management scientists to converge on AI–IoT decision support that is transparent, scalable, and aligned with organizational strategy.</w:t>
      </w:r>
    </w:p>
    <w:p w14:paraId="2B8199C0" w14:textId="77777777" w:rsidR="005529D3" w:rsidRDefault="00000000">
      <w:pPr>
        <w:pStyle w:val="Heading1"/>
      </w:pPr>
      <w:r>
        <w:t>List of Topics</w:t>
      </w:r>
    </w:p>
    <w:p w14:paraId="25F42DC6" w14:textId="77777777" w:rsidR="005529D3" w:rsidRDefault="00000000">
      <w:pPr>
        <w:pStyle w:val="ListBullet"/>
      </w:pPr>
      <w:r>
        <w:t>AI-enabled business intelligence and executive decision support</w:t>
      </w:r>
    </w:p>
    <w:p w14:paraId="238CC24C" w14:textId="77777777" w:rsidR="005529D3" w:rsidRDefault="00000000">
      <w:pPr>
        <w:pStyle w:val="ListBullet"/>
      </w:pPr>
      <w:r>
        <w:t>IoT data products, streaming analytics, and digital twins for business</w:t>
      </w:r>
    </w:p>
    <w:p w14:paraId="6A06AE61" w14:textId="77777777" w:rsidR="005529D3" w:rsidRDefault="00000000">
      <w:pPr>
        <w:pStyle w:val="ListBullet"/>
      </w:pPr>
      <w:r>
        <w:t>Process mining, workflow automation, and intelligent RPA</w:t>
      </w:r>
    </w:p>
    <w:p w14:paraId="1D5CB81A" w14:textId="77777777" w:rsidR="005529D3" w:rsidRDefault="00000000">
      <w:pPr>
        <w:pStyle w:val="ListBullet"/>
      </w:pPr>
      <w:r>
        <w:t>Prescriptive, causal, and explainable analytics for management</w:t>
      </w:r>
    </w:p>
    <w:p w14:paraId="090F7066" w14:textId="77777777" w:rsidR="005529D3" w:rsidRDefault="00000000">
      <w:pPr>
        <w:pStyle w:val="ListBullet"/>
      </w:pPr>
      <w:r>
        <w:t>Low-code AI and digital management platforms</w:t>
      </w:r>
    </w:p>
    <w:p w14:paraId="3057C050" w14:textId="77777777" w:rsidR="005529D3" w:rsidRDefault="00000000">
      <w:pPr>
        <w:pStyle w:val="ListBullet"/>
      </w:pPr>
      <w:r>
        <w:t>Demand forecasting, inventory, and revenue operations with IoT signals</w:t>
      </w:r>
    </w:p>
    <w:p w14:paraId="31798CF0" w14:textId="77777777" w:rsidR="005529D3" w:rsidRDefault="00000000">
      <w:pPr>
        <w:pStyle w:val="ListBullet"/>
      </w:pPr>
      <w:r>
        <w:lastRenderedPageBreak/>
        <w:t>Customer experience and omnichannel analytics using connected devices</w:t>
      </w:r>
    </w:p>
    <w:p w14:paraId="1F209ECB" w14:textId="77777777" w:rsidR="005529D3" w:rsidRDefault="00000000">
      <w:pPr>
        <w:pStyle w:val="ListBullet"/>
      </w:pPr>
      <w:r>
        <w:t>Risk, fraud, and compliance analytics in regulated industries</w:t>
      </w:r>
    </w:p>
    <w:p w14:paraId="41788FC9" w14:textId="77777777" w:rsidR="005529D3" w:rsidRDefault="00000000">
      <w:pPr>
        <w:pStyle w:val="ListBullet"/>
      </w:pPr>
      <w:r>
        <w:t>Organizational adoption, AI literacy, and change management</w:t>
      </w:r>
    </w:p>
    <w:p w14:paraId="4930FB25" w14:textId="77777777" w:rsidR="005529D3" w:rsidRDefault="00000000">
      <w:pPr>
        <w:pStyle w:val="ListBullet"/>
      </w:pPr>
      <w:r>
        <w:t>Case studies of AI–IoT in digital enterprise management</w:t>
      </w:r>
    </w:p>
    <w:p w14:paraId="771F8E35" w14:textId="4EB28A83" w:rsidR="005529D3" w:rsidRDefault="00000000">
      <w:pPr>
        <w:pStyle w:val="Heading1"/>
      </w:pPr>
      <w:r>
        <w:t>C</w:t>
      </w:r>
      <w:r w:rsidR="0036135A">
        <w:t>hairs</w:t>
      </w:r>
    </w:p>
    <w:p w14:paraId="578FDE64" w14:textId="2092E472" w:rsidR="0036135A" w:rsidRPr="0036135A" w:rsidRDefault="0036135A" w:rsidP="0036135A">
      <w:r w:rsidRPr="0036135A">
        <w:t>Dr Akshat Gaurav, Ronin Institute, USA</w:t>
      </w:r>
    </w:p>
    <w:p w14:paraId="5389A056" w14:textId="77777777" w:rsidR="005529D3"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5529D3" w14:paraId="025E4072" w14:textId="77777777">
        <w:tc>
          <w:tcPr>
            <w:tcW w:w="4320" w:type="dxa"/>
          </w:tcPr>
          <w:p w14:paraId="61D8E074" w14:textId="77777777" w:rsidR="005529D3" w:rsidRDefault="00000000">
            <w:r>
              <w:rPr>
                <w:b/>
              </w:rPr>
              <w:t>Milestone</w:t>
            </w:r>
          </w:p>
        </w:tc>
        <w:tc>
          <w:tcPr>
            <w:tcW w:w="4320" w:type="dxa"/>
          </w:tcPr>
          <w:p w14:paraId="58279A7B" w14:textId="77777777" w:rsidR="005529D3" w:rsidRDefault="00000000">
            <w:r>
              <w:rPr>
                <w:b/>
              </w:rPr>
              <w:t>Date</w:t>
            </w:r>
          </w:p>
        </w:tc>
      </w:tr>
      <w:tr w:rsidR="005529D3" w14:paraId="08BBE751" w14:textId="77777777">
        <w:tc>
          <w:tcPr>
            <w:tcW w:w="4320" w:type="dxa"/>
          </w:tcPr>
          <w:p w14:paraId="74DB0E22" w14:textId="77777777" w:rsidR="005529D3" w:rsidRDefault="00000000">
            <w:r>
              <w:t>Paper Submission Deadline</w:t>
            </w:r>
          </w:p>
        </w:tc>
        <w:tc>
          <w:tcPr>
            <w:tcW w:w="4320" w:type="dxa"/>
          </w:tcPr>
          <w:p w14:paraId="12BA1B74" w14:textId="77777777" w:rsidR="005529D3" w:rsidRDefault="00000000">
            <w:r>
              <w:t>September 30, 2026</w:t>
            </w:r>
          </w:p>
        </w:tc>
      </w:tr>
      <w:tr w:rsidR="005529D3" w14:paraId="196969FD" w14:textId="77777777">
        <w:tc>
          <w:tcPr>
            <w:tcW w:w="4320" w:type="dxa"/>
          </w:tcPr>
          <w:p w14:paraId="2BA5CE6B" w14:textId="77777777" w:rsidR="005529D3" w:rsidRDefault="00000000">
            <w:r>
              <w:t>Acceptance Notification</w:t>
            </w:r>
          </w:p>
        </w:tc>
        <w:tc>
          <w:tcPr>
            <w:tcW w:w="4320" w:type="dxa"/>
          </w:tcPr>
          <w:p w14:paraId="12EC96FF" w14:textId="77777777" w:rsidR="005529D3" w:rsidRDefault="00000000">
            <w:r>
              <w:t>October 15, 2026</w:t>
            </w:r>
          </w:p>
        </w:tc>
      </w:tr>
      <w:tr w:rsidR="005529D3" w14:paraId="2CEDC163" w14:textId="77777777">
        <w:tc>
          <w:tcPr>
            <w:tcW w:w="4320" w:type="dxa"/>
          </w:tcPr>
          <w:p w14:paraId="7C13CEF8" w14:textId="77777777" w:rsidR="005529D3" w:rsidRDefault="00000000">
            <w:r>
              <w:t>Camera-Ready Submission</w:t>
            </w:r>
          </w:p>
        </w:tc>
        <w:tc>
          <w:tcPr>
            <w:tcW w:w="4320" w:type="dxa"/>
          </w:tcPr>
          <w:p w14:paraId="1EF80BEA" w14:textId="77777777" w:rsidR="005529D3" w:rsidRDefault="00000000">
            <w:r>
              <w:t>November 01, 2026</w:t>
            </w:r>
          </w:p>
        </w:tc>
      </w:tr>
      <w:tr w:rsidR="005529D3" w14:paraId="0A662759" w14:textId="77777777">
        <w:tc>
          <w:tcPr>
            <w:tcW w:w="4320" w:type="dxa"/>
          </w:tcPr>
          <w:p w14:paraId="3820C157" w14:textId="77777777" w:rsidR="005529D3" w:rsidRDefault="00000000">
            <w:r>
              <w:t>Conference Dates</w:t>
            </w:r>
          </w:p>
        </w:tc>
        <w:tc>
          <w:tcPr>
            <w:tcW w:w="4320" w:type="dxa"/>
          </w:tcPr>
          <w:p w14:paraId="5BA6004B" w14:textId="77777777" w:rsidR="005529D3" w:rsidRDefault="00000000">
            <w:r>
              <w:t>December 3–5, 2026</w:t>
            </w:r>
          </w:p>
        </w:tc>
      </w:tr>
    </w:tbl>
    <w:p w14:paraId="0C003C9B" w14:textId="77777777" w:rsidR="005529D3" w:rsidRDefault="005529D3"/>
    <w:p w14:paraId="0021AD6D" w14:textId="7AE9D22F" w:rsidR="005529D3" w:rsidRDefault="005529D3"/>
    <w:sectPr w:rsidR="005529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204363">
    <w:abstractNumId w:val="8"/>
  </w:num>
  <w:num w:numId="2" w16cid:durableId="793601358">
    <w:abstractNumId w:val="6"/>
  </w:num>
  <w:num w:numId="3" w16cid:durableId="135922688">
    <w:abstractNumId w:val="5"/>
  </w:num>
  <w:num w:numId="4" w16cid:durableId="1334912315">
    <w:abstractNumId w:val="4"/>
  </w:num>
  <w:num w:numId="5" w16cid:durableId="935210454">
    <w:abstractNumId w:val="7"/>
  </w:num>
  <w:num w:numId="6" w16cid:durableId="221797498">
    <w:abstractNumId w:val="3"/>
  </w:num>
  <w:num w:numId="7" w16cid:durableId="493836691">
    <w:abstractNumId w:val="2"/>
  </w:num>
  <w:num w:numId="8" w16cid:durableId="1843473770">
    <w:abstractNumId w:val="1"/>
  </w:num>
  <w:num w:numId="9" w16cid:durableId="164183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626"/>
    <w:rsid w:val="00326F90"/>
    <w:rsid w:val="0036135A"/>
    <w:rsid w:val="005529D3"/>
    <w:rsid w:val="00774A5D"/>
    <w:rsid w:val="00A971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64175"/>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26"/>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2bda5db0-0c4b-429f-8d09-0ffcff29fb2f</vt:lpwstr>
  </property>
</Properties>
</file>