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D59CA" w14:textId="77777777" w:rsidR="00436EC4" w:rsidRDefault="00000000">
      <w:pPr>
        <w:pStyle w:val="Title"/>
        <w:jc w:val="center"/>
      </w:pPr>
      <w:r>
        <w:t>TAIIS 2026</w:t>
      </w:r>
    </w:p>
    <w:p w14:paraId="774A7EB5" w14:textId="77777777" w:rsidR="00436EC4" w:rsidRDefault="00000000">
      <w:pPr>
        <w:jc w:val="center"/>
      </w:pPr>
      <w:r>
        <w:rPr>
          <w:b/>
          <w:sz w:val="28"/>
        </w:rPr>
        <w:t>Workshop: WS4</w:t>
      </w:r>
    </w:p>
    <w:p w14:paraId="7FEBEE58" w14:textId="77777777" w:rsidR="00436EC4" w:rsidRDefault="00000000">
      <w:pPr>
        <w:pStyle w:val="IntenseQuote"/>
        <w:jc w:val="center"/>
      </w:pPr>
      <w:r>
        <w:t>Quantum Computing, Quantum AI and Post-Quantum Security for Emerging Technologies</w:t>
      </w:r>
    </w:p>
    <w:p w14:paraId="1923AB45" w14:textId="77777777" w:rsidR="00436EC4" w:rsidRDefault="00000000">
      <w:pPr>
        <w:jc w:val="center"/>
      </w:pPr>
      <w:r>
        <w:t>(Q-PACT)</w:t>
      </w:r>
    </w:p>
    <w:p w14:paraId="086E2EF1" w14:textId="77777777" w:rsidR="00436EC4" w:rsidRDefault="00436EC4"/>
    <w:p w14:paraId="060B81DC" w14:textId="77777777" w:rsidR="00436EC4" w:rsidRDefault="00000000">
      <w:pPr>
        <w:pStyle w:val="Heading1"/>
      </w:pPr>
      <w:r>
        <w:t>Aim and Scope</w:t>
      </w:r>
    </w:p>
    <w:p w14:paraId="02819224" w14:textId="77777777" w:rsidR="00436EC4" w:rsidRDefault="00000000">
      <w:r>
        <w:t>Emerging AI and IoT ecosystems depend on public-key cryptography and long-lived device identities that quantum adversaries may undermine via harvest-now–decrypt-later strategies, even before fault-tolerant quantum computers arrive at scale. Simultaneously, quantum computing and quantum machine learning offer new optimization and sensing capabilities for networking, logistics, and scientific IoT, creating a dual landscape of opportunity and cryptographic crisis. IoT and edge nodes—often deployed for decades with limited crypto agility—face severe constraints on memory, energy, and update mechanisms when migrating to post-quantum algorithms. Network designers must plan hybrid classical–quantum workflows, QKD where feasible, and resource-aware PQC suites without breaking latency-sensitive control loops. Research teams lack unified threat models spanning quantum algorithms, AI model theft, and constrained device supply chains. Data-sovereignty and critical-infrastructure rules further complicate cross-border key management and auditability for quantum-ready architectures.</w:t>
      </w:r>
    </w:p>
    <w:p w14:paraId="3FD031EA" w14:textId="77777777" w:rsidR="00436EC4" w:rsidRDefault="00000000">
      <w:r>
        <w:t>Workshop Q-PACT (Quantum Computing, Quantum AI and Post-Quantum Security for Emerging Technologies) addresses quantum ML, hybrid optimization, PQC migration, QKD integration, and crypto-agility for AI–IoT systems. The workshop welcomes theoretical advances, embedded implementations, migration roadmaps, and policy-oriented analyses. It offers a premier interdisciplinary forum enabling cryptographers, quantum researchers, network architects, and IoT security practitioners to converge on quantum-aware, trustworthy intelligent infrastructure.</w:t>
      </w:r>
    </w:p>
    <w:p w14:paraId="3117B8C0" w14:textId="77777777" w:rsidR="00436EC4" w:rsidRDefault="00000000">
      <w:pPr>
        <w:pStyle w:val="Heading1"/>
      </w:pPr>
      <w:r>
        <w:t>List of Topics</w:t>
      </w:r>
    </w:p>
    <w:p w14:paraId="761766F4" w14:textId="77777777" w:rsidR="00436EC4" w:rsidRDefault="00000000">
      <w:pPr>
        <w:pStyle w:val="ListBullet"/>
      </w:pPr>
      <w:r>
        <w:t>Quantum machine learning for IoT analytics and optimization</w:t>
      </w:r>
    </w:p>
    <w:p w14:paraId="7AD58A3C" w14:textId="77777777" w:rsidR="00436EC4" w:rsidRDefault="00000000">
      <w:pPr>
        <w:pStyle w:val="ListBullet"/>
      </w:pPr>
      <w:r>
        <w:t>Hybrid quantum–classical algorithms for networks and logistics</w:t>
      </w:r>
    </w:p>
    <w:p w14:paraId="6D2519B4" w14:textId="77777777" w:rsidR="00436EC4" w:rsidRDefault="00000000">
      <w:pPr>
        <w:pStyle w:val="ListBullet"/>
      </w:pPr>
      <w:r>
        <w:t>Post-quantum cryptography for constrained IoT and edge devices</w:t>
      </w:r>
    </w:p>
    <w:p w14:paraId="4357FC9C" w14:textId="77777777" w:rsidR="00436EC4" w:rsidRDefault="00000000">
      <w:pPr>
        <w:pStyle w:val="ListBullet"/>
      </w:pPr>
      <w:r>
        <w:t>Quantum key distribution and quantum-safe link engineering</w:t>
      </w:r>
    </w:p>
    <w:p w14:paraId="2182CE02" w14:textId="77777777" w:rsidR="00436EC4" w:rsidRDefault="00000000">
      <w:pPr>
        <w:pStyle w:val="ListBullet"/>
      </w:pPr>
      <w:r>
        <w:t>Crypto-agility, migration planning, and lifecycle management</w:t>
      </w:r>
    </w:p>
    <w:p w14:paraId="3225D455" w14:textId="77777777" w:rsidR="00436EC4" w:rsidRDefault="00000000">
      <w:pPr>
        <w:pStyle w:val="ListBullet"/>
      </w:pPr>
      <w:r>
        <w:t>Quantum sensing and metrology in industrial IoT</w:t>
      </w:r>
    </w:p>
    <w:p w14:paraId="704F7DCB" w14:textId="77777777" w:rsidR="00436EC4" w:rsidRDefault="00000000">
      <w:pPr>
        <w:pStyle w:val="ListBullet"/>
      </w:pPr>
      <w:r>
        <w:t>Harvest-now–decrypt-later threat models and mitigations</w:t>
      </w:r>
    </w:p>
    <w:p w14:paraId="3499C870" w14:textId="77777777" w:rsidR="00436EC4" w:rsidRDefault="00000000">
      <w:pPr>
        <w:pStyle w:val="ListBullet"/>
      </w:pPr>
      <w:r>
        <w:lastRenderedPageBreak/>
        <w:t>Lightweight PQC implementations and hardware acceleration</w:t>
      </w:r>
    </w:p>
    <w:p w14:paraId="0AAB358D" w14:textId="77777777" w:rsidR="00436EC4" w:rsidRDefault="00000000">
      <w:pPr>
        <w:pStyle w:val="ListBullet"/>
      </w:pPr>
      <w:r>
        <w:t>Standards (NIST PQC), compliance, and certification pathways</w:t>
      </w:r>
    </w:p>
    <w:p w14:paraId="653212ED" w14:textId="77777777" w:rsidR="00436EC4" w:rsidRDefault="00000000">
      <w:pPr>
        <w:pStyle w:val="ListBullet"/>
      </w:pPr>
      <w:r>
        <w:t>Education and workforce development for quantum-ready security</w:t>
      </w:r>
    </w:p>
    <w:p w14:paraId="4D0CEA7C" w14:textId="519102B2" w:rsidR="00436EC4" w:rsidRDefault="00000000">
      <w:pPr>
        <w:pStyle w:val="Heading1"/>
      </w:pPr>
      <w:r>
        <w:t>C</w:t>
      </w:r>
      <w:r w:rsidR="00834252">
        <w:t>hair</w:t>
      </w:r>
    </w:p>
    <w:p w14:paraId="6DE82434" w14:textId="08BF516C" w:rsidR="00834252" w:rsidRPr="00834252" w:rsidRDefault="00834252" w:rsidP="00834252">
      <w:r w:rsidRPr="00834252">
        <w:t>Jun-Hong Shen, National United University, Taiwan</w:t>
      </w:r>
    </w:p>
    <w:p w14:paraId="3D9CE898" w14:textId="77777777" w:rsidR="00436EC4" w:rsidRDefault="00000000">
      <w:pPr>
        <w:pStyle w:val="Heading1"/>
      </w:pPr>
      <w:r>
        <w:t>Submission 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6EC4" w14:paraId="5F57D102" w14:textId="77777777">
        <w:tc>
          <w:tcPr>
            <w:tcW w:w="4320" w:type="dxa"/>
          </w:tcPr>
          <w:p w14:paraId="4793EA2E" w14:textId="77777777" w:rsidR="00436EC4" w:rsidRDefault="00000000">
            <w:r>
              <w:rPr>
                <w:b/>
              </w:rPr>
              <w:t>Milestone</w:t>
            </w:r>
          </w:p>
        </w:tc>
        <w:tc>
          <w:tcPr>
            <w:tcW w:w="4320" w:type="dxa"/>
          </w:tcPr>
          <w:p w14:paraId="108BD42F" w14:textId="77777777" w:rsidR="00436EC4" w:rsidRDefault="00000000">
            <w:r>
              <w:rPr>
                <w:b/>
              </w:rPr>
              <w:t>Date</w:t>
            </w:r>
          </w:p>
        </w:tc>
      </w:tr>
      <w:tr w:rsidR="00436EC4" w14:paraId="35A1A77D" w14:textId="77777777">
        <w:tc>
          <w:tcPr>
            <w:tcW w:w="4320" w:type="dxa"/>
          </w:tcPr>
          <w:p w14:paraId="46FA33EF" w14:textId="77777777" w:rsidR="00436EC4" w:rsidRDefault="00000000">
            <w:r>
              <w:t>Paper Submission Deadline</w:t>
            </w:r>
          </w:p>
        </w:tc>
        <w:tc>
          <w:tcPr>
            <w:tcW w:w="4320" w:type="dxa"/>
          </w:tcPr>
          <w:p w14:paraId="07A73B7C" w14:textId="77777777" w:rsidR="00436EC4" w:rsidRDefault="00000000">
            <w:r>
              <w:t>September 30, 2026</w:t>
            </w:r>
          </w:p>
        </w:tc>
      </w:tr>
      <w:tr w:rsidR="00436EC4" w14:paraId="035D75D4" w14:textId="77777777">
        <w:tc>
          <w:tcPr>
            <w:tcW w:w="4320" w:type="dxa"/>
          </w:tcPr>
          <w:p w14:paraId="15A33D08" w14:textId="77777777" w:rsidR="00436EC4" w:rsidRDefault="00000000">
            <w:r>
              <w:t>Acceptance Notification</w:t>
            </w:r>
          </w:p>
        </w:tc>
        <w:tc>
          <w:tcPr>
            <w:tcW w:w="4320" w:type="dxa"/>
          </w:tcPr>
          <w:p w14:paraId="32690E7C" w14:textId="77777777" w:rsidR="00436EC4" w:rsidRDefault="00000000">
            <w:r>
              <w:t>October 15, 2026</w:t>
            </w:r>
          </w:p>
        </w:tc>
      </w:tr>
      <w:tr w:rsidR="00436EC4" w14:paraId="0B003348" w14:textId="77777777">
        <w:tc>
          <w:tcPr>
            <w:tcW w:w="4320" w:type="dxa"/>
          </w:tcPr>
          <w:p w14:paraId="337E0422" w14:textId="77777777" w:rsidR="00436EC4" w:rsidRDefault="00000000">
            <w:r>
              <w:t>Camera-Ready Submission</w:t>
            </w:r>
          </w:p>
        </w:tc>
        <w:tc>
          <w:tcPr>
            <w:tcW w:w="4320" w:type="dxa"/>
          </w:tcPr>
          <w:p w14:paraId="04715616" w14:textId="77777777" w:rsidR="00436EC4" w:rsidRDefault="00000000">
            <w:r>
              <w:t>November 01, 2026</w:t>
            </w:r>
          </w:p>
        </w:tc>
      </w:tr>
      <w:tr w:rsidR="00436EC4" w14:paraId="4691935E" w14:textId="77777777">
        <w:tc>
          <w:tcPr>
            <w:tcW w:w="4320" w:type="dxa"/>
          </w:tcPr>
          <w:p w14:paraId="21BC07DB" w14:textId="77777777" w:rsidR="00436EC4" w:rsidRDefault="00000000">
            <w:r>
              <w:t>Conference Dates</w:t>
            </w:r>
          </w:p>
        </w:tc>
        <w:tc>
          <w:tcPr>
            <w:tcW w:w="4320" w:type="dxa"/>
          </w:tcPr>
          <w:p w14:paraId="458626F6" w14:textId="77777777" w:rsidR="00436EC4" w:rsidRDefault="00000000">
            <w:r>
              <w:t>December 3–5, 2026</w:t>
            </w:r>
          </w:p>
        </w:tc>
      </w:tr>
    </w:tbl>
    <w:p w14:paraId="59CF5B7B" w14:textId="77777777" w:rsidR="00436EC4" w:rsidRDefault="00436EC4"/>
    <w:p w14:paraId="02F571D4" w14:textId="4E620DFD" w:rsidR="00436EC4" w:rsidRDefault="00436EC4"/>
    <w:sectPr w:rsidR="00436EC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18119">
    <w:abstractNumId w:val="8"/>
  </w:num>
  <w:num w:numId="2" w16cid:durableId="1917350354">
    <w:abstractNumId w:val="6"/>
  </w:num>
  <w:num w:numId="3" w16cid:durableId="733160511">
    <w:abstractNumId w:val="5"/>
  </w:num>
  <w:num w:numId="4" w16cid:durableId="394016071">
    <w:abstractNumId w:val="4"/>
  </w:num>
  <w:num w:numId="5" w16cid:durableId="1921518139">
    <w:abstractNumId w:val="7"/>
  </w:num>
  <w:num w:numId="6" w16cid:durableId="847184517">
    <w:abstractNumId w:val="3"/>
  </w:num>
  <w:num w:numId="7" w16cid:durableId="1204514371">
    <w:abstractNumId w:val="2"/>
  </w:num>
  <w:num w:numId="8" w16cid:durableId="1371808065">
    <w:abstractNumId w:val="1"/>
  </w:num>
  <w:num w:numId="9" w16cid:durableId="56973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CDC"/>
    <w:rsid w:val="0015074B"/>
    <w:rsid w:val="0029639D"/>
    <w:rsid w:val="00326F90"/>
    <w:rsid w:val="00436EC4"/>
    <w:rsid w:val="00774A5D"/>
    <w:rsid w:val="00834252"/>
    <w:rsid w:val="00A971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CAF65"/>
  <w14:defaultImageDpi w14:val="300"/>
  <w15:docId w15:val="{8B6606E9-974D-40BF-BA09-F5C31790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CDC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2026-09-21T23:20:00Z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d053ac26-ca80-481f-b35c-7456d1057fde</vt:lpwstr>
  </property>
</Properties>
</file>