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895B5" w14:textId="77777777" w:rsidR="00860335" w:rsidRDefault="00000000">
      <w:pPr>
        <w:pStyle w:val="Title"/>
        <w:jc w:val="center"/>
      </w:pPr>
      <w:r>
        <w:t>TAIIS 2026</w:t>
      </w:r>
    </w:p>
    <w:p w14:paraId="03B3E83F" w14:textId="77777777" w:rsidR="00860335" w:rsidRDefault="00000000">
      <w:pPr>
        <w:jc w:val="center"/>
      </w:pPr>
      <w:r>
        <w:rPr>
          <w:b/>
          <w:sz w:val="28"/>
        </w:rPr>
        <w:t>Workshop: WS6</w:t>
      </w:r>
    </w:p>
    <w:p w14:paraId="27E161CD" w14:textId="77777777" w:rsidR="00860335" w:rsidRDefault="00000000">
      <w:pPr>
        <w:pStyle w:val="IntenseQuote"/>
        <w:jc w:val="center"/>
      </w:pPr>
      <w:r>
        <w:t>AI and Cybersecurity for Space Missions, Satellites and Space Systems</w:t>
      </w:r>
    </w:p>
    <w:p w14:paraId="0C71AFB2" w14:textId="77777777" w:rsidR="00860335" w:rsidRDefault="00000000">
      <w:pPr>
        <w:jc w:val="center"/>
      </w:pPr>
      <w:r>
        <w:t>(AI-SpaceSec)</w:t>
      </w:r>
    </w:p>
    <w:p w14:paraId="006DF850" w14:textId="77777777" w:rsidR="00860335" w:rsidRDefault="00860335"/>
    <w:p w14:paraId="15DBD4D4" w14:textId="77777777" w:rsidR="00860335" w:rsidRDefault="00000000">
      <w:pPr>
        <w:pStyle w:val="Heading1"/>
      </w:pPr>
      <w:r>
        <w:t>Aim and Scope</w:t>
      </w:r>
    </w:p>
    <w:p w14:paraId="2D809299" w14:textId="77777777" w:rsidR="00860335" w:rsidRDefault="00000000">
      <w:r>
        <w:t>Space missions and satellite constellations now underpin global communications, Earth observation IoT backhaul, navigation, and defense-aware sensing—forming a contested, congested orbital environment coupled to vulnerable ground segments. Onboard AI enables autonomous maneuvering, payload analytics, and compression of downlink traffic, yet space-grade compute, radiation effects, and strict energy budgets limit model complexity and retraining frequency. Ground stations and TT&amp;C links remain high-value cyber targets where compromise can affect entire fleets. Supply-chain integrity for space hardware and firmware, long asset lifetimes, and slow patch cycles exacerbate exposure to advanced persistent threats. Emerging integration with terrestrial 5G/6G and direct-to-device IoT extends the attack surface across regulatory jurisdictions. Quantum-safe links, zero-trust ground architectures, and verified autonomous controllers are becoming mission requirements rather than research curiosities.</w:t>
      </w:r>
    </w:p>
    <w:p w14:paraId="3884C4CC" w14:textId="77777777" w:rsidR="00860335" w:rsidRDefault="00000000">
      <w:r>
        <w:t>Workshop AI-SpaceSec (AI and Cybersecurity for Space Missions, Satellites and Space Systems) addresses onboard ML, autonomous mission planning, secure TT&amp;C, space situational awareness analytics, and supply-chain assurance for space–terrestrial IoT. The workshop solicits aerospace case studies, security architectures, radiation-tolerant AI implementations, and policy analyses. It offers a premier interdisciplinary forum enabling aerospace engineers, cybersecurity researchers, and AI specialists to converge on trustworthy intelligent space systems.</w:t>
      </w:r>
    </w:p>
    <w:p w14:paraId="587E93B2" w14:textId="77777777" w:rsidR="00860335" w:rsidRDefault="00000000">
      <w:pPr>
        <w:pStyle w:val="Heading1"/>
      </w:pPr>
      <w:r>
        <w:t>List of Topics</w:t>
      </w:r>
    </w:p>
    <w:p w14:paraId="0AF5040F" w14:textId="77777777" w:rsidR="00860335" w:rsidRDefault="00000000">
      <w:pPr>
        <w:pStyle w:val="ListBullet"/>
      </w:pPr>
      <w:r>
        <w:t>Onboard edge AI and radiation-tolerant ML accelerators</w:t>
      </w:r>
    </w:p>
    <w:p w14:paraId="74A9789B" w14:textId="77777777" w:rsidR="00860335" w:rsidRDefault="00000000">
      <w:pPr>
        <w:pStyle w:val="ListBullet"/>
      </w:pPr>
      <w:r>
        <w:t>Autonomous mission planning, FDIR, and constellation management</w:t>
      </w:r>
    </w:p>
    <w:p w14:paraId="2484C540" w14:textId="77777777" w:rsidR="00860335" w:rsidRDefault="00000000">
      <w:pPr>
        <w:pStyle w:val="ListBullet"/>
      </w:pPr>
      <w:r>
        <w:t>Cybersecurity for ground segment, TT&amp;C, and mission control</w:t>
      </w:r>
    </w:p>
    <w:p w14:paraId="148FF44E" w14:textId="77777777" w:rsidR="00860335" w:rsidRDefault="00000000">
      <w:pPr>
        <w:pStyle w:val="ListBullet"/>
      </w:pPr>
      <w:r>
        <w:t>Threat detection for space IoT, NTN, and hybrid terrestrial links</w:t>
      </w:r>
    </w:p>
    <w:p w14:paraId="719C15D2" w14:textId="77777777" w:rsidR="00860335" w:rsidRDefault="00000000">
      <w:pPr>
        <w:pStyle w:val="ListBullet"/>
      </w:pPr>
      <w:r>
        <w:t>Secure onboard software update, attestation, and key management</w:t>
      </w:r>
    </w:p>
    <w:p w14:paraId="0BFE100E" w14:textId="77777777" w:rsidR="00860335" w:rsidRDefault="00000000">
      <w:pPr>
        <w:pStyle w:val="ListBullet"/>
      </w:pPr>
      <w:r>
        <w:t>Space situational awareness and debris tracking using AI</w:t>
      </w:r>
    </w:p>
    <w:p w14:paraId="2CBA98D1" w14:textId="77777777" w:rsidR="00860335" w:rsidRDefault="00000000">
      <w:pPr>
        <w:pStyle w:val="ListBullet"/>
      </w:pPr>
      <w:r>
        <w:t>Quantum-safe and high-assurance communications for space links</w:t>
      </w:r>
    </w:p>
    <w:p w14:paraId="0D855874" w14:textId="77777777" w:rsidR="00860335" w:rsidRDefault="00000000">
      <w:pPr>
        <w:pStyle w:val="ListBullet"/>
      </w:pPr>
      <w:r>
        <w:t>Supply chain, firmware, and hardware root-of-trust for space systems</w:t>
      </w:r>
    </w:p>
    <w:p w14:paraId="4F9F1B67" w14:textId="77777777" w:rsidR="00860335" w:rsidRDefault="00000000">
      <w:pPr>
        <w:pStyle w:val="ListBullet"/>
      </w:pPr>
      <w:r>
        <w:t>AI for Earth observation, remote sensing, and IoT backhaul analytics</w:t>
      </w:r>
    </w:p>
    <w:p w14:paraId="25EB2047" w14:textId="77777777" w:rsidR="00860335" w:rsidRDefault="00000000">
      <w:pPr>
        <w:pStyle w:val="ListBullet"/>
      </w:pPr>
      <w:r>
        <w:lastRenderedPageBreak/>
        <w:t>Policy, regulation, and international cooperation for space cyber defense</w:t>
      </w:r>
    </w:p>
    <w:p w14:paraId="4841FFCF" w14:textId="5D5E6232" w:rsidR="00860335" w:rsidRDefault="00000000">
      <w:pPr>
        <w:pStyle w:val="Heading1"/>
      </w:pPr>
      <w:r>
        <w:t>C</w:t>
      </w:r>
      <w:r w:rsidR="00395556">
        <w:t>hair</w:t>
      </w:r>
    </w:p>
    <w:p w14:paraId="16E6A922" w14:textId="62899823" w:rsidR="00395556" w:rsidRPr="00395556" w:rsidRDefault="00395556" w:rsidP="00395556">
      <w:r w:rsidRPr="00395556">
        <w:t>Mu-Yen Chen, Professor, National Cheng Kung University, Tainan, Taiwan</w:t>
      </w:r>
    </w:p>
    <w:p w14:paraId="3603CA96" w14:textId="77777777" w:rsidR="00860335" w:rsidRDefault="00000000">
      <w:pPr>
        <w:pStyle w:val="Heading1"/>
      </w:pPr>
      <w:r>
        <w:t>Submission 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60335" w14:paraId="07745739" w14:textId="77777777">
        <w:tc>
          <w:tcPr>
            <w:tcW w:w="4320" w:type="dxa"/>
          </w:tcPr>
          <w:p w14:paraId="4A7FAF10" w14:textId="77777777" w:rsidR="00860335" w:rsidRDefault="00000000">
            <w:r>
              <w:rPr>
                <w:b/>
              </w:rPr>
              <w:t>Milestone</w:t>
            </w:r>
          </w:p>
        </w:tc>
        <w:tc>
          <w:tcPr>
            <w:tcW w:w="4320" w:type="dxa"/>
          </w:tcPr>
          <w:p w14:paraId="1F6BD919" w14:textId="77777777" w:rsidR="00860335" w:rsidRDefault="00000000">
            <w:r>
              <w:rPr>
                <w:b/>
              </w:rPr>
              <w:t>Date</w:t>
            </w:r>
          </w:p>
        </w:tc>
      </w:tr>
      <w:tr w:rsidR="00860335" w14:paraId="3384D3C6" w14:textId="77777777">
        <w:tc>
          <w:tcPr>
            <w:tcW w:w="4320" w:type="dxa"/>
          </w:tcPr>
          <w:p w14:paraId="1542CF98" w14:textId="77777777" w:rsidR="00860335" w:rsidRDefault="00000000">
            <w:r>
              <w:t>Paper Submission Deadline</w:t>
            </w:r>
          </w:p>
        </w:tc>
        <w:tc>
          <w:tcPr>
            <w:tcW w:w="4320" w:type="dxa"/>
          </w:tcPr>
          <w:p w14:paraId="3F22C24D" w14:textId="77777777" w:rsidR="00860335" w:rsidRDefault="00000000">
            <w:r>
              <w:t>September 30, 2026</w:t>
            </w:r>
          </w:p>
        </w:tc>
      </w:tr>
      <w:tr w:rsidR="00860335" w14:paraId="7D8E157D" w14:textId="77777777">
        <w:tc>
          <w:tcPr>
            <w:tcW w:w="4320" w:type="dxa"/>
          </w:tcPr>
          <w:p w14:paraId="09BD1791" w14:textId="77777777" w:rsidR="00860335" w:rsidRDefault="00000000">
            <w:r>
              <w:t>Acceptance Notification</w:t>
            </w:r>
          </w:p>
        </w:tc>
        <w:tc>
          <w:tcPr>
            <w:tcW w:w="4320" w:type="dxa"/>
          </w:tcPr>
          <w:p w14:paraId="363DD7D7" w14:textId="77777777" w:rsidR="00860335" w:rsidRDefault="00000000">
            <w:r>
              <w:t>October 15, 2026</w:t>
            </w:r>
          </w:p>
        </w:tc>
      </w:tr>
      <w:tr w:rsidR="00860335" w14:paraId="383BFCBB" w14:textId="77777777">
        <w:tc>
          <w:tcPr>
            <w:tcW w:w="4320" w:type="dxa"/>
          </w:tcPr>
          <w:p w14:paraId="4EDB5A10" w14:textId="77777777" w:rsidR="00860335" w:rsidRDefault="00000000">
            <w:r>
              <w:t>Camera-Ready Submission</w:t>
            </w:r>
          </w:p>
        </w:tc>
        <w:tc>
          <w:tcPr>
            <w:tcW w:w="4320" w:type="dxa"/>
          </w:tcPr>
          <w:p w14:paraId="501B092E" w14:textId="77777777" w:rsidR="00860335" w:rsidRDefault="00000000">
            <w:r>
              <w:t>November 01, 2026</w:t>
            </w:r>
          </w:p>
        </w:tc>
      </w:tr>
      <w:tr w:rsidR="00860335" w14:paraId="2F35F30E" w14:textId="77777777">
        <w:tc>
          <w:tcPr>
            <w:tcW w:w="4320" w:type="dxa"/>
          </w:tcPr>
          <w:p w14:paraId="705B75A9" w14:textId="77777777" w:rsidR="00860335" w:rsidRDefault="00000000">
            <w:r>
              <w:t>Conference Dates</w:t>
            </w:r>
          </w:p>
        </w:tc>
        <w:tc>
          <w:tcPr>
            <w:tcW w:w="4320" w:type="dxa"/>
          </w:tcPr>
          <w:p w14:paraId="7FBDCB87" w14:textId="77777777" w:rsidR="00860335" w:rsidRDefault="00000000">
            <w:r>
              <w:t>December 3–5, 2026</w:t>
            </w:r>
          </w:p>
        </w:tc>
      </w:tr>
    </w:tbl>
    <w:p w14:paraId="43BA210D" w14:textId="77777777" w:rsidR="00860335" w:rsidRDefault="00860335"/>
    <w:p w14:paraId="5692B5B4" w14:textId="04DA0ACD" w:rsidR="00860335" w:rsidRDefault="00860335"/>
    <w:sectPr w:rsidR="0086033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4121443">
    <w:abstractNumId w:val="8"/>
  </w:num>
  <w:num w:numId="2" w16cid:durableId="1265187113">
    <w:abstractNumId w:val="6"/>
  </w:num>
  <w:num w:numId="3" w16cid:durableId="217936157">
    <w:abstractNumId w:val="5"/>
  </w:num>
  <w:num w:numId="4" w16cid:durableId="1418669231">
    <w:abstractNumId w:val="4"/>
  </w:num>
  <w:num w:numId="5" w16cid:durableId="144274573">
    <w:abstractNumId w:val="7"/>
  </w:num>
  <w:num w:numId="6" w16cid:durableId="754979295">
    <w:abstractNumId w:val="3"/>
  </w:num>
  <w:num w:numId="7" w16cid:durableId="1682004023">
    <w:abstractNumId w:val="2"/>
  </w:num>
  <w:num w:numId="8" w16cid:durableId="102844801">
    <w:abstractNumId w:val="1"/>
  </w:num>
  <w:num w:numId="9" w16cid:durableId="16348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5CA"/>
    <w:rsid w:val="0029639D"/>
    <w:rsid w:val="00326F90"/>
    <w:rsid w:val="00395556"/>
    <w:rsid w:val="00774A5D"/>
    <w:rsid w:val="00860335"/>
    <w:rsid w:val="00A971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34A5AE"/>
  <w14:defaultImageDpi w14:val="300"/>
  <w15:docId w15:val="{8B6606E9-974D-40BF-BA09-F5C31790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5CA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2026-09-21T23:21:00Z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b7532ee1-e8eb-4dae-8791-44f66b3a4e82</vt:lpwstr>
  </property>
</Properties>
</file>