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--explain.pig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divs = load 'NYSE_dividends' as (exchange, symbol, date, dividends);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grpd = group divs by symbol;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avgdiv = foreach grpd generate group, AVG(divs.dividends);</w: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  <w:t xml:space="preserve">store avgdiv into 'average_dividend';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Explain  was written so that Pig developers could examine how Pig handled various scripts, thus its output is not the most user-friendly.</w:t>
      </w:r>
    </w:p>
    <w:p>
      <w:pPr>
        <w:spacing w:before="0" w:after="200" w:line="276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491">
          <v:rect xmlns:o="urn:schemas-microsoft-com:office:office" xmlns:v="urn:schemas-microsoft-com:vml" id="rectole0000000000" style="width:433.200000pt;height:27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After optimizing the logical plan, Pig produces a physical plan. This plan describes the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physical operators Pig will use to execute the script, without reference to how they will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be executed in MapReduce.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033">
          <v:rect xmlns:o="urn:schemas-microsoft-com:office:office" xmlns:v="urn:schemas-microsoft-com:vml" id="rectole0000000001" style="width:433.200000pt;height:25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Finally, Pig takes the physical plan and decides how it will place its operators into one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or more MapReduce jobs.</w: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  <w:r>
        <w:object w:dxaOrig="8664" w:dyaOrig="11361">
          <v:rect xmlns:o="urn:schemas-microsoft-com:office:office" xmlns:v="urn:schemas-microsoft-com:vml" id="rectole0000000002" style="width:433.200000pt;height:56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illustrate takes a sample of your data and runs it through your script, but as it encounters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operators that remove data (such as filter, join, etc.), it makes sure that some records</w:t>
      </w:r>
    </w:p>
    <w:p>
      <w:pPr>
        <w:spacing w:before="0" w:after="0" w:line="240"/>
        <w:ind w:right="0" w:left="0" w:firstLine="0"/>
        <w:jc w:val="left"/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irka" w:hAnsi="Birka" w:cs="Birka" w:eastAsia="Birka"/>
          <w:b/>
          <w:color w:val="FF0000"/>
          <w:spacing w:val="0"/>
          <w:position w:val="0"/>
          <w:sz w:val="20"/>
          <w:shd w:fill="auto" w:val="clear"/>
        </w:rPr>
        <w:t xml:space="preserve">pass through the operator and some do not.</w: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divs = load 'NYSE_dividends' as (e:chararray, s:chararray, d:chararray, div:float);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recent = filter divs by d &gt; '2009-01-01';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trimmd = foreach recent generate s, div;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grpd = group trimmd by s;</w:t>
      </w:r>
    </w:p>
    <w:p>
      <w:pPr>
        <w:spacing w:before="0" w:after="0" w:line="240"/>
        <w:ind w:right="0" w:left="0" w:firstLine="0"/>
        <w:jc w:val="left"/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avgdiv = foreach grpd generate group, AVG(trimmd.div);</w: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2"/>
          <w:shd w:fill="auto" w:val="clear"/>
        </w:rPr>
      </w:pPr>
      <w:r>
        <w:rPr>
          <w:rFonts w:ascii="TheSansMonoCd-W5Regular" w:hAnsi="TheSansMonoCd-W5Regular" w:cs="TheSansMonoCd-W5Regular" w:eastAsia="TheSansMonoCd-W5Regular"/>
          <w:color w:val="auto"/>
          <w:spacing w:val="0"/>
          <w:position w:val="0"/>
          <w:sz w:val="22"/>
          <w:shd w:fill="auto" w:val="clear"/>
        </w:rPr>
        <w:t xml:space="preserve">illustrate avgdiv;</w:t>
      </w:r>
    </w:p>
    <w:p>
      <w:pPr>
        <w:spacing w:before="0" w:after="200" w:line="276"/>
        <w:ind w:right="0" w:left="0" w:firstLine="0"/>
        <w:jc w:val="left"/>
        <w:rPr>
          <w:rFonts w:ascii="Birka" w:hAnsi="Birka" w:cs="Birka" w:eastAsia="Birk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722">
          <v:rect xmlns:o="urn:schemas-microsoft-com:office:office" xmlns:v="urn:schemas-microsoft-com:vml" id="rectole0000000003" style="width:433.200000pt;height:286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