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task_6_research_notes_candidate_s_5aede7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Task 6 Research Notes — Candidate Stress Test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andidates_compar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Candidates Compared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O1: Payment Failure Economic Recovery Advisor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O2: Chargeback Economic Strategy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O3: Thin-File COD Fairness Optimiser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O6: Unified Entity Risk Graph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O10: Issuer Pattern Explorer &amp; Route Advisor</w:t>
      </w:r>
    </w:p>
    <w:p>
      <w:pPr>
        <w:spacing w:line="360" w:before="315" w:after="105" w:lineRule="auto"/>
        <w:ind w:left="-30"/>
        <w:jc w:val="left"/>
      </w:pPr>
      <w:bookmarkStart w:id="2" w:name="key_external_evide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External Evidence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routing_and_failure_optimis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Routing and Failure Optimisation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Razorpay Smart Routing paper shows ML-based terminal routing with 4–6% success uplift in production, indicating rich internal failure and routing signals already exist.[web:338]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Razorpay Vulcan foundation model routes payments using ~3,000 signals per transaction, improving success and fraud/dispute detection; issuer behaviour and patterns are already modelled internally.[web:166][web:168][web:292]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Stripe Authorization Boost and Payments Intelligence Suite use AI to optimise retries, formatting, and acceptance, recovering false declines and improving auth rates.[web:342][web:349][web:355]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Adyen Uplift Protect and Authenticate use AI trained on trillions of transactions to balance fraud, routing, and authentication, dynamically applying 3DS and exemptions.[web:347][web:353][web:346]</w:t>
      </w:r>
    </w:p>
    <w:p>
      <w:pPr>
        <w:spacing w:line="360" w:before="315" w:after="105" w:lineRule="auto"/>
        <w:ind w:left="-30"/>
        <w:jc w:val="left"/>
      </w:pPr>
      <w:bookmarkStart w:id="4" w:name="payment_recovery_startu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Payment Recovery Startups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SlickerHQ, Butter Payments, Nuvei, IrisAgent and similar players offer AI-driven smart retries, decline pattern analysis, and dunning communications that can improve recovery 2–4x over static rules.[web:360][web:366][web:370][web:365][web:364][web:367]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These systems already predict recoverability and choose retry timing and sometimes payment method, which reduces basic novelty for O1.</w:t>
      </w:r>
    </w:p>
    <w:p>
      <w:pPr>
        <w:spacing w:line="360" w:before="315" w:after="105" w:lineRule="auto"/>
        <w:ind w:left="-30"/>
        <w:jc w:val="left"/>
      </w:pPr>
      <w:bookmarkStart w:id="5" w:name="fraud_and_graph_ml_saturation_o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Fraud and Graph ML Saturation (O6)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Extensive graph-based fraud detection literature and datasets exist: Elliptic Bitcoin dataset, DGraph, IEEE-CIS, transaction graph datasets (TC, PR01/PR02), and multiple GNN-based fraud frameworks.[web:374][web:376][web:372][web:373][web:318][web:383]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AWS and others provide end-to-end GNN fraud detection solutions using IEEE-CIS and synthetic datasets, showing high saturation of “entity risk graph” products.[web:378][web:379][web:385]</w:t>
      </w:r>
    </w:p>
    <w:p>
      <w:pPr>
        <w:spacing w:line="360" w:before="315" w:after="105" w:lineRule="auto"/>
        <w:ind w:left="-30"/>
        <w:jc w:val="left"/>
      </w:pPr>
      <w:bookmarkStart w:id="6" w:name="rto_cod_and_fairness_o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RTO/COD and Fairness (O3)</w:t>
      </w:r>
      <w:bookmarkEnd w:id="6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Razorpay Magic Checkout RTO Intelligence and Thirdwatch already provide COD risk scoring and RTO analytics and protection; fairness/inclusion for thin-file customers is not explicitly documented.[web:124][web:125][web:129][web:130][web:135]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Academic work exists on fraud and credit fairness, but COD-specific fairness optimisation appears less directly saturated.</w:t>
      </w:r>
    </w:p>
    <w:p>
      <w:pPr>
        <w:spacing w:line="360" w:before="315" w:after="105" w:lineRule="auto"/>
        <w:ind w:left="-30"/>
        <w:jc w:val="left"/>
      </w:pPr>
      <w:bookmarkStart w:id="7" w:name="chargebacks_o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Chargebacks (O2)</w:t>
      </w:r>
      <w:bookmarkEnd w:id="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ML work can predict chargebacks and dispute outcomes, but public datasets for full dispute economics are sparse, and most commercial players focus on evidence automation.[web:215][web:218][web:219]</w:t>
      </w:r>
    </w:p>
    <w:p>
      <w:pPr>
        <w:spacing w:line="360" w:before="315" w:after="105" w:lineRule="auto"/>
        <w:ind w:left="-30"/>
        <w:jc w:val="left"/>
      </w:pPr>
      <w:bookmarkStart w:id="8" w:name="data_reality_highligh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Data Reality Highlights</w:t>
      </w:r>
      <w:bookmarkEnd w:id="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O1 requires failure context + action + outcome to train EV-based recovery decisions; public datasets rarely include action/outcome pairs. Razorpay logs are the only convincing source.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O2 requires dispute outcomes and fees; extremely unlikely in public data and sensitive internally.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O3 requires COD/RTO outcomes, segment labels, and policy decisions; likely present internally but not public.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O6 requires cross-merchant entity graphs; data is highly sensitive and saturated in internal products like Vulcan.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O10 requires issuer/BIN-level auth/failure stats and routes; internally available via Vulcan, not public.</w:t>
      </w:r>
    </w:p>
    <w:p>
      <w:pPr>
        <w:spacing w:line="360" w:before="315" w:after="105" w:lineRule="auto"/>
        <w:ind w:left="-30"/>
        <w:jc w:val="left"/>
      </w:pPr>
      <w:bookmarkStart w:id="9" w:name="saturation_assess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Saturation Assessment</w:t>
      </w:r>
      <w:bookmarkEnd w:id="9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O6 (Unified Entity Risk Graph): Extremely high saturation across products, startups, academic papers, and internal Razorpay capabilities — strongly kill.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O1 (Payment Failure Economic Recovery): High saturation on generic smart retries and recovery, but less clear saturation on Razorpay-specific EV-based bounded decision+explanation; transform rather than kill.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O2 (Chargeback Economic Strategy): Moderate novelty but very strong data constraints; best kept as backup.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O3 (Thin-File COD Fairness): Moderate saturation; fairness angle provides some white space if RTO/segment data and scope are available.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O10 (Issuer Pattern Explorer): Saturated on routing; white space mainly at merchant transparency layer, especially as a module feeding O1.</w:t>
      </w:r>
    </w:p>
    <w:p>
      <w:pPr>
        <w:spacing w:line="360" w:before="315" w:after="105" w:lineRule="auto"/>
        <w:ind w:left="-30"/>
        <w:jc w:val="left"/>
      </w:pPr>
      <w:bookmarkStart w:id="10" w:name="preliminary_ranking_rationa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Preliminary Ranking Rationale</w:t>
      </w:r>
      <w:bookmarkEnd w:id="10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Tier S: O1 — Highest Razorpay fit and clear monetary loss; offers a distinct decision framing (EV-based bounded recovery actions) but depends critically on internal data and careful scoping.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Tier A: O3 and O10 — Both leverage strong Razorpay assets (RTO systems and Vulcan) and could create novel views/policies if data and framing are acceptable.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Tier B: O2 — Conceptually sharp but data-constrained; may be viable only with explicit dispute dataset access.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Tier C: O6 — Saturated and privacy-constrained; likely to be seen as re-implementing Vulcan/graph fraud tooling.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2026-09-01T14:25:00.716Z</dcterms:created>
  <dcterms:modified xsi:type="dcterms:W3CDTF">2026-09-01T14:25:00.716Z</dcterms:modified>
</cp:coreProperties>
</file>