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40"/>
          <w:szCs w:val="40"/>
        </w:rPr>
        <w:t xml:space="preserve">RETENTION PLAYBOOK</w:t>
      </w:r>
    </w:p>
    <w:p>
      <w:pPr>
        <w:pBdr>
          <w:bottom w:val="single" w:color="2E5077" w:sz="12" w:space="6"/>
        </w:pBdr>
        <w:spacing w:after="200"/>
      </w:pPr>
      <w:r>
        <w:rPr>
          <w:color w:val="595959"/>
          <w:sz w:val="22"/>
          <w:szCs w:val="22"/>
        </w:rPr>
        <w:t xml:space="preserve">Decoding Customer Value — A SQL-Driven Retention Strategy</w:t>
      </w:r>
    </w:p>
    <w:p>
      <w:pPr>
        <w:spacing w:after="160"/>
      </w:pPr>
      <w:r>
        <w:rPr>
          <w:sz w:val="22"/>
          <w:szCs w:val="22"/>
        </w:rPr>
        <w:t xml:space="preserve">This playbook translates the customer segmentation analysis into two actionable outputs the founding team can execute immediately: a promotional sunset plan that phases out discounts for customers who no longer need them, and an ideal customer profile that marketing can target for acquisition. Every recommendation below is traceable to a specific SQL query and the engineered metrics (loyalty score, promotion dependency score, value tier) behind it.</w:t>
      </w:r>
    </w:p>
    <w:p>
      <w:pPr>
        <w:pStyle w:val="Heading1"/>
        <w:spacing w:after="140" w:before="320"/>
      </w:pPr>
      <w:r>
        <w:rPr>
          <w:b/>
          <w:bCs/>
          <w:color w:val="2E5077"/>
        </w:rPr>
        <w:t xml:space="preserve">1. Promotional Sunset Plan</w:t>
      </w:r>
    </w:p>
    <w:p>
      <w:pPr>
        <w:spacing w:after="160" w:before="60"/>
      </w:pPr>
      <w:r>
        <w:rPr>
          <w:i/>
          <w:iCs/>
          <w:color w:val="595959"/>
          <w:sz w:val="20"/>
          <w:szCs w:val="20"/>
        </w:rPr>
        <w:t xml:space="preserve">Basis: Query G1 — Subscriber segment, cross-tabbed by tenure tier and purchase frequency</w:t>
      </w:r>
    </w:p>
    <w:p>
      <w:pPr>
        <w:spacing w:after="160"/>
      </w:pPr>
      <w:r>
        <w:rPr>
          <w:sz w:val="22"/>
          <w:szCs w:val="22"/>
        </w:rPr>
        <w:t xml:space="preserve">The Subscriber persona (customers enrolled in the discount program) was segmented by tenure and purchase frequency to find out which of them are loyal enough to wean off discounts without losing them, and which still need the incentive to keep buying. Loyalty and dependency move almost perfectly in opposite directions as tenure and frequency increase — this is the lever the plan uses.</w:t>
      </w:r>
    </w:p>
    <w:p>
      <w:pPr>
        <w:pStyle w:val="Heading2"/>
        <w:spacing w:after="140" w:before="320"/>
      </w:pPr>
      <w:r>
        <w:rPr>
          <w:b/>
          <w:bCs/>
          <w:color w:val="2E5077"/>
        </w:rPr>
        <w:t xml:space="preserve">Phased rollout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150"/>
        <w:gridCol w:w="2650"/>
        <w:gridCol w:w="1150"/>
        <w:gridCol w:w="1400"/>
        <w:gridCol w:w="1450"/>
        <w:gridCol w:w="2240"/>
      </w:tblGrid>
      <w:tr>
        <w:trPr>
          <w:tblHeader/>
        </w:trPr>
        <w:tc>
          <w:tcPr>
            <w:tcW w:type="dxa" w:w="1150"/>
            <w:shd w:fill="2E5077" w:val="clear"/>
            <w:tcMar>
              <w:top w:type="dxa" w:w="100"/>
              <w:left w:type="dxa" w:w="120"/>
              <w:bottom w:type="dxa" w:w="100"/>
              <w:right w:type="dxa" w:w="120"/>
            </w:tcMar>
            <w:vAlign w:val="center"/>
          </w:tcPr>
          <w:p>
            <w:pPr>
              <w:jc w:val="center"/>
            </w:pPr>
            <w:r>
              <w:rPr>
                <w:b/>
                <w:bCs/>
                <w:color w:val="FFFFFF"/>
                <w:sz w:val="19"/>
                <w:szCs w:val="19"/>
              </w:rPr>
              <w:t xml:space="preserve">Phase</w:t>
            </w:r>
          </w:p>
        </w:tc>
        <w:tc>
          <w:tcPr>
            <w:tcW w:type="dxa" w:w="2650"/>
            <w:shd w:fill="2E5077" w:val="clear"/>
            <w:tcMar>
              <w:top w:type="dxa" w:w="100"/>
              <w:left w:type="dxa" w:w="120"/>
              <w:bottom w:type="dxa" w:w="100"/>
              <w:right w:type="dxa" w:w="120"/>
            </w:tcMar>
            <w:vAlign w:val="center"/>
          </w:tcPr>
          <w:p>
            <w:pPr>
              <w:jc w:val="center"/>
            </w:pPr>
            <w:r>
              <w:rPr>
                <w:b/>
                <w:bCs/>
                <w:color w:val="FFFFFF"/>
                <w:sz w:val="19"/>
                <w:szCs w:val="19"/>
              </w:rPr>
              <w:t xml:space="preserve">Segment</w:t>
            </w:r>
          </w:p>
        </w:tc>
        <w:tc>
          <w:tcPr>
            <w:tcW w:type="dxa" w:w="1150"/>
            <w:shd w:fill="2E5077" w:val="clear"/>
            <w:tcMar>
              <w:top w:type="dxa" w:w="100"/>
              <w:left w:type="dxa" w:w="120"/>
              <w:bottom w:type="dxa" w:w="100"/>
              <w:right w:type="dxa" w:w="120"/>
            </w:tcMar>
            <w:vAlign w:val="center"/>
          </w:tcPr>
          <w:p>
            <w:pPr>
              <w:jc w:val="center"/>
            </w:pPr>
            <w:r>
              <w:rPr>
                <w:b/>
                <w:bCs/>
                <w:color w:val="FFFFFF"/>
                <w:sz w:val="19"/>
                <w:szCs w:val="19"/>
              </w:rPr>
              <w:t xml:space="preserve">Customers</w:t>
            </w:r>
          </w:p>
        </w:tc>
        <w:tc>
          <w:tcPr>
            <w:tcW w:type="dxa" w:w="1400"/>
            <w:shd w:fill="2E5077" w:val="clear"/>
            <w:tcMar>
              <w:top w:type="dxa" w:w="100"/>
              <w:left w:type="dxa" w:w="120"/>
              <w:bottom w:type="dxa" w:w="100"/>
              <w:right w:type="dxa" w:w="120"/>
            </w:tcMar>
            <w:vAlign w:val="center"/>
          </w:tcPr>
          <w:p>
            <w:pPr>
              <w:jc w:val="center"/>
            </w:pPr>
            <w:r>
              <w:rPr>
                <w:b/>
                <w:bCs/>
                <w:color w:val="FFFFFF"/>
                <w:sz w:val="19"/>
                <w:szCs w:val="19"/>
              </w:rPr>
              <w:t xml:space="preserve">Avg Loyalty</w:t>
            </w:r>
          </w:p>
        </w:tc>
        <w:tc>
          <w:tcPr>
            <w:tcW w:type="dxa" w:w="1450"/>
            <w:shd w:fill="2E5077" w:val="clear"/>
            <w:tcMar>
              <w:top w:type="dxa" w:w="100"/>
              <w:left w:type="dxa" w:w="120"/>
              <w:bottom w:type="dxa" w:w="100"/>
              <w:right w:type="dxa" w:w="120"/>
            </w:tcMar>
            <w:vAlign w:val="center"/>
          </w:tcPr>
          <w:p>
            <w:pPr>
              <w:jc w:val="center"/>
            </w:pPr>
            <w:r>
              <w:rPr>
                <w:b/>
                <w:bCs/>
                <w:color w:val="FFFFFF"/>
                <w:sz w:val="19"/>
                <w:szCs w:val="19"/>
              </w:rPr>
              <w:t xml:space="preserve">Avg Dependency</w:t>
            </w:r>
          </w:p>
        </w:tc>
        <w:tc>
          <w:tcPr>
            <w:tcW w:type="dxa" w:w="2240"/>
            <w:shd w:fill="2E5077" w:val="clear"/>
            <w:tcMar>
              <w:top w:type="dxa" w:w="100"/>
              <w:left w:type="dxa" w:w="120"/>
              <w:bottom w:type="dxa" w:w="100"/>
              <w:right w:type="dxa" w:w="120"/>
            </w:tcMar>
            <w:vAlign w:val="center"/>
          </w:tcPr>
          <w:p>
            <w:pPr>
              <w:jc w:val="center"/>
            </w:pPr>
            <w:r>
              <w:rPr>
                <w:b/>
                <w:bCs/>
                <w:color w:val="FFFFFF"/>
                <w:sz w:val="19"/>
                <w:szCs w:val="19"/>
              </w:rPr>
              <w:t xml:space="preserve">Action</w:t>
            </w:r>
          </w:p>
        </w:tc>
      </w:tr>
      <w:tr>
        <w:tc>
          <w:tcPr>
            <w:tcW w:type="dxa" w:w="115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Phase 1</w:t>
            </w:r>
          </w:p>
        </w:tc>
        <w:tc>
          <w:tcPr>
            <w:tcW w:type="dxa" w:w="265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Loyal + Weekly</w:t>
            </w:r>
          </w:p>
        </w:tc>
        <w:tc>
          <w:tcPr>
            <w:tcW w:type="dxa" w:w="115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38</w:t>
            </w:r>
          </w:p>
        </w:tc>
        <w:tc>
          <w:tcPr>
            <w:tcW w:type="dxa" w:w="14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0.945</w:t>
            </w:r>
          </w:p>
        </w:tc>
        <w:tc>
          <w:tcPr>
            <w:tcW w:type="dxa" w:w="145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0.050</w:t>
            </w:r>
          </w:p>
        </w:tc>
        <w:tc>
          <w:tcPr>
            <w:tcW w:type="dxa" w:w="224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Phase out discounts first</w:t>
            </w:r>
          </w:p>
        </w:tc>
      </w:tr>
      <w:tr>
        <w:tc>
          <w:tcPr>
            <w:tcW w:type="dxa" w:w="1150"/>
            <w:shd w:fill="EAF0F6" w:val="clear"/>
            <w:tcMar>
              <w:top w:type="dxa" w:w="100"/>
              <w:left w:type="dxa" w:w="120"/>
              <w:bottom w:type="dxa" w:w="100"/>
              <w:right w:type="dxa" w:w="120"/>
            </w:tcMar>
            <w:vAlign w:val="center"/>
          </w:tcPr>
          <w:p>
            <w:pPr>
              <w:jc w:val="left"/>
            </w:pPr>
            <w:r>
              <w:rPr>
                <w:b w:val="false"/>
                <w:bCs w:val="false"/>
                <w:color w:val="1F2937"/>
                <w:sz w:val="19"/>
                <w:szCs w:val="19"/>
              </w:rPr>
              <w:t xml:space="preserve">Phase 2</w:t>
            </w:r>
          </w:p>
        </w:tc>
        <w:tc>
          <w:tcPr>
            <w:tcW w:type="dxa" w:w="265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Established + Weekly</w:t>
            </w:r>
          </w:p>
        </w:tc>
        <w:tc>
          <w:tcPr>
            <w:tcW w:type="dxa" w:w="115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46</w:t>
            </w:r>
          </w:p>
        </w:tc>
        <w:tc>
          <w:tcPr>
            <w:tcW w:type="dxa" w:w="140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0.569</w:t>
            </w:r>
          </w:p>
        </w:tc>
        <w:tc>
          <w:tcPr>
            <w:tcW w:type="dxa" w:w="145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0.183</w:t>
            </w:r>
          </w:p>
        </w:tc>
        <w:tc>
          <w:tcPr>
            <w:tcW w:type="dxa" w:w="224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Reduce discounts gradually</w:t>
            </w:r>
          </w:p>
        </w:tc>
      </w:tr>
      <w:tr>
        <w:tc>
          <w:tcPr>
            <w:tcW w:type="dxa" w:w="115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Phase 3</w:t>
            </w:r>
          </w:p>
        </w:tc>
        <w:tc>
          <w:tcPr>
            <w:tcW w:type="dxa" w:w="265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Loyal + Bi-Weekly</w:t>
            </w:r>
          </w:p>
        </w:tc>
        <w:tc>
          <w:tcPr>
            <w:tcW w:type="dxa" w:w="115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70</w:t>
            </w:r>
          </w:p>
        </w:tc>
        <w:tc>
          <w:tcPr>
            <w:tcW w:type="dxa" w:w="14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0.320</w:t>
            </w:r>
          </w:p>
        </w:tc>
        <w:tc>
          <w:tcPr>
            <w:tcW w:type="dxa" w:w="145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0.314</w:t>
            </w:r>
          </w:p>
        </w:tc>
        <w:tc>
          <w:tcPr>
            <w:tcW w:type="dxa" w:w="224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Pilot reduced promotions</w:t>
            </w:r>
          </w:p>
        </w:tc>
      </w:tr>
      <w:tr>
        <w:tc>
          <w:tcPr>
            <w:tcW w:type="dxa" w:w="1150"/>
            <w:shd w:fill="EAF0F6" w:val="clear"/>
            <w:tcMar>
              <w:top w:type="dxa" w:w="100"/>
              <w:left w:type="dxa" w:w="120"/>
              <w:bottom w:type="dxa" w:w="100"/>
              <w:right w:type="dxa" w:w="120"/>
            </w:tcMar>
            <w:vAlign w:val="center"/>
          </w:tcPr>
          <w:p>
            <w:pPr>
              <w:jc w:val="left"/>
            </w:pPr>
            <w:r>
              <w:rPr>
                <w:b w:val="false"/>
                <w:bCs w:val="false"/>
                <w:color w:val="1F2937"/>
                <w:sz w:val="19"/>
                <w:szCs w:val="19"/>
              </w:rPr>
              <w:t xml:space="preserve">Phase 4</w:t>
            </w:r>
          </w:p>
        </w:tc>
        <w:tc>
          <w:tcPr>
            <w:tcW w:type="dxa" w:w="265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Growing + Weekly</w:t>
            </w:r>
          </w:p>
        </w:tc>
        <w:tc>
          <w:tcPr>
            <w:tcW w:type="dxa" w:w="115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40</w:t>
            </w:r>
          </w:p>
        </w:tc>
        <w:tc>
          <w:tcPr>
            <w:tcW w:type="dxa" w:w="140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0.280</w:t>
            </w:r>
          </w:p>
        </w:tc>
        <w:tc>
          <w:tcPr>
            <w:tcW w:type="dxa" w:w="145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0.312</w:t>
            </w:r>
          </w:p>
        </w:tc>
        <w:tc>
          <w:tcPr>
            <w:tcW w:type="dxa" w:w="224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Test partial discount reduction</w:t>
            </w:r>
          </w:p>
        </w:tc>
      </w:tr>
      <w:tr>
        <w:tc>
          <w:tcPr>
            <w:tcW w:type="dxa" w:w="115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Hold</w:t>
            </w:r>
          </w:p>
        </w:tc>
        <w:tc>
          <w:tcPr>
            <w:tcW w:type="dxa" w:w="265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New / Monthly / Quarterly / Annual</w:t>
            </w:r>
          </w:p>
        </w:tc>
        <w:tc>
          <w:tcPr>
            <w:tcW w:type="dxa" w:w="115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700+</w:t>
            </w:r>
          </w:p>
        </w:tc>
        <w:tc>
          <w:tcPr>
            <w:tcW w:type="dxa" w:w="14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≤0.12</w:t>
            </w:r>
          </w:p>
        </w:tc>
        <w:tc>
          <w:tcPr>
            <w:tcW w:type="dxa" w:w="145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0.44 – 0.93</w:t>
            </w:r>
          </w:p>
        </w:tc>
        <w:tc>
          <w:tcPr>
            <w:tcW w:type="dxa" w:w="224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Continue discounts</w:t>
            </w:r>
          </w:p>
        </w:tc>
      </w:tr>
    </w:tbl>
    <w:p>
      <w:pPr>
        <w:spacing w:after="200"/>
      </w:pPr>
    </w:p>
    <w:p>
      <w:pPr>
        <w:pStyle w:val="Heading2"/>
        <w:spacing w:after="140" w:before="320"/>
      </w:pPr>
      <w:r>
        <w:rPr>
          <w:b/>
          <w:bCs/>
          <w:color w:val="2E5077"/>
        </w:rPr>
        <w:t xml:space="preserve">Phase detail</w:t>
      </w:r>
    </w:p>
    <w:p>
      <w:pPr>
        <w:spacing w:after="160"/>
      </w:pPr>
      <w:r>
        <w:rPr>
          <w:b/>
          <w:bCs/>
          <w:sz w:val="22"/>
          <w:szCs w:val="22"/>
        </w:rPr>
        <w:t xml:space="preserve">Phase 1 — Loyal + Weekly customers (trigger to withdraw discounts first)</w:t>
      </w:r>
    </w:p>
    <w:p>
      <w:pPr>
        <w:pStyle w:val="ListParagraph"/>
        <w:numPr>
          <w:ilvl w:val="0"/>
          <w:numId w:val="2"/>
        </w:numPr>
        <w:spacing w:after="80"/>
      </w:pPr>
      <w:r>
        <w:rPr>
          <w:sz w:val="22"/>
          <w:szCs w:val="22"/>
        </w:rPr>
        <w:t xml:space="preserve">Trigger behavior: tenure tier = Loyal (top purchase-count quartile) and purchase frequency = Weekly. This group already buys at the maximum observed cadence with the longest history on file.</w:t>
      </w:r>
    </w:p>
    <w:p>
      <w:pPr>
        <w:pStyle w:val="ListParagraph"/>
        <w:numPr>
          <w:ilvl w:val="0"/>
          <w:numId w:val="2"/>
        </w:numPr>
        <w:spacing w:after="80"/>
      </w:pPr>
      <w:r>
        <w:rPr>
          <w:sz w:val="22"/>
          <w:szCs w:val="22"/>
        </w:rPr>
        <w:t xml:space="preserve">Why this segment: highest loyalty score in the entire customer base (0.945) combined with the lowest promotion dependency (0.050) of any group in the Subscriber persona — the discount is not what is retaining them.</w:t>
      </w:r>
    </w:p>
    <w:p>
      <w:pPr>
        <w:pStyle w:val="ListParagraph"/>
        <w:numPr>
          <w:ilvl w:val="0"/>
          <w:numId w:val="2"/>
        </w:numPr>
        <w:spacing w:after="80"/>
      </w:pPr>
      <w:r>
        <w:rPr>
          <w:sz w:val="22"/>
          <w:szCs w:val="22"/>
        </w:rPr>
        <w:t xml:space="preserve">Rollout timeline: Weeks 1–4 — remove standing discount codes for this cohort and replace with a non-monetary perk (early access, free shipping). Weeks 5–8 — monitor before making the change permanent.</w:t>
      </w:r>
    </w:p>
    <w:p>
      <w:pPr>
        <w:pStyle w:val="ListParagraph"/>
        <w:numPr>
          <w:ilvl w:val="0"/>
          <w:numId w:val="2"/>
        </w:numPr>
        <w:spacing w:after="80"/>
      </w:pPr>
      <w:r>
        <w:rPr>
          <w:sz w:val="22"/>
          <w:szCs w:val="22"/>
        </w:rPr>
        <w:t xml:space="preserve">Margin impact: discount removal on ~38 customers directly recovers the promotional spend on this cohort's highest-frequency purchases; expected to be the highest-margin recovery per customer of any phase given their spend and frequency.</w:t>
      </w:r>
    </w:p>
    <w:p>
      <w:pPr>
        <w:pStyle w:val="ListParagraph"/>
        <w:numPr>
          <w:ilvl w:val="0"/>
          <w:numId w:val="2"/>
        </w:numPr>
        <w:spacing w:after="80"/>
      </w:pPr>
      <w:r>
        <w:rPr>
          <w:sz w:val="22"/>
          <w:szCs w:val="22"/>
        </w:rPr>
        <w:t xml:space="preserve">Metric to track: week-over-week purchase frequency and loyalty score for this cohort post-removal. A drop in frequency of more than 10–15% or a shift out of the Loyal tenure tier signals the discount was doing more work than the loyalty score implied, and the phase should be paused.</w:t>
      </w:r>
    </w:p>
    <w:p>
      <w:pPr>
        <w:spacing w:after="160"/>
      </w:pPr>
      <w:r>
        <w:rPr>
          <w:b/>
          <w:bCs/>
          <w:sz w:val="22"/>
          <w:szCs w:val="22"/>
        </w:rPr>
        <w:t xml:space="preserve">Phase 2 — Established + Weekly customers (gradual reduction)</w:t>
      </w:r>
    </w:p>
    <w:p>
      <w:pPr>
        <w:pStyle w:val="ListParagraph"/>
        <w:numPr>
          <w:ilvl w:val="0"/>
          <w:numId w:val="2"/>
        </w:numPr>
        <w:spacing w:after="80"/>
      </w:pPr>
      <w:r>
        <w:rPr>
          <w:sz w:val="22"/>
          <w:szCs w:val="22"/>
        </w:rPr>
        <w:t xml:space="preserve">Trigger behavior: tenure tier = Established, frequency = Weekly. One tenure step below the Loyal cohort, still buying weekly.</w:t>
      </w:r>
    </w:p>
    <w:p>
      <w:pPr>
        <w:pStyle w:val="ListParagraph"/>
        <w:numPr>
          <w:ilvl w:val="0"/>
          <w:numId w:val="2"/>
        </w:numPr>
        <w:spacing w:after="80"/>
      </w:pPr>
      <w:r>
        <w:rPr>
          <w:sz w:val="22"/>
          <w:szCs w:val="22"/>
        </w:rPr>
        <w:t xml:space="preserve">Why this segment: second-highest loyalty (0.569) with dependency still under 0.20 — a smaller cushion than Phase 1, so the reduction should be gradual rather than immediate.</w:t>
      </w:r>
    </w:p>
    <w:p>
      <w:pPr>
        <w:pStyle w:val="ListParagraph"/>
        <w:numPr>
          <w:ilvl w:val="0"/>
          <w:numId w:val="2"/>
        </w:numPr>
        <w:spacing w:after="80"/>
      </w:pPr>
      <w:r>
        <w:rPr>
          <w:sz w:val="22"/>
          <w:szCs w:val="22"/>
        </w:rPr>
        <w:t xml:space="preserve">Rollout timeline: begins at Week 5 (once Phase 1 shows a stable read), step the discount down in three stages over 6 weeks rather than removing it outright.</w:t>
      </w:r>
    </w:p>
    <w:p>
      <w:pPr>
        <w:pStyle w:val="ListParagraph"/>
        <w:numPr>
          <w:ilvl w:val="0"/>
          <w:numId w:val="2"/>
        </w:numPr>
        <w:spacing w:after="80"/>
      </w:pPr>
      <w:r>
        <w:rPr>
          <w:sz w:val="22"/>
          <w:szCs w:val="22"/>
        </w:rPr>
        <w:t xml:space="preserve">Margin impact: moderate — this is a smaller, more discount-sensitive group, so the plan trades a slower margin gain for lower attrition risk.</w:t>
      </w:r>
    </w:p>
    <w:p>
      <w:pPr>
        <w:pStyle w:val="ListParagraph"/>
        <w:numPr>
          <w:ilvl w:val="0"/>
          <w:numId w:val="2"/>
        </w:numPr>
        <w:spacing w:after="80"/>
      </w:pPr>
      <w:r>
        <w:rPr>
          <w:sz w:val="22"/>
          <w:szCs w:val="22"/>
        </w:rPr>
        <w:t xml:space="preserve">Metric to track: promotion dependency score recalculated monthly for the cohort; if it climbs rather than holding steady as the discount steps down, slow the taper.</w:t>
      </w:r>
    </w:p>
    <w:p>
      <w:pPr>
        <w:spacing w:after="160"/>
      </w:pPr>
      <w:r>
        <w:rPr>
          <w:b/>
          <w:bCs/>
          <w:sz w:val="22"/>
          <w:szCs w:val="22"/>
        </w:rPr>
        <w:t xml:space="preserve">Phase 3 — Loyal + Bi-Weekly, and Phase 4 — Growing + Weekly (pilot only)</w:t>
      </w:r>
    </w:p>
    <w:p>
      <w:pPr>
        <w:pStyle w:val="ListParagraph"/>
        <w:numPr>
          <w:ilvl w:val="0"/>
          <w:numId w:val="2"/>
        </w:numPr>
        <w:spacing w:after="80"/>
      </w:pPr>
      <w:r>
        <w:rPr>
          <w:sz w:val="22"/>
          <w:szCs w:val="22"/>
        </w:rPr>
        <w:t xml:space="preserve">Trigger behavior: Phase 3 is Loyal tenure at Bi-Weekly frequency (0.320 loyalty, 0.314 dependency); Phase 4 is Growing tenure at Weekly frequency (0.280 loyalty, 0.312 dependency) — both cross the ~0.30 dependency line where the discount is doing a meaningful part of the retention work.</w:t>
      </w:r>
    </w:p>
    <w:p>
      <w:pPr>
        <w:pStyle w:val="ListParagraph"/>
        <w:numPr>
          <w:ilvl w:val="0"/>
          <w:numId w:val="2"/>
        </w:numPr>
        <w:spacing w:after="80"/>
      </w:pPr>
      <w:r>
        <w:rPr>
          <w:sz w:val="22"/>
          <w:szCs w:val="22"/>
        </w:rPr>
        <w:t xml:space="preserve">Why pilot rather than roll out: dependency is roughly 5–6x higher than Phase 1, so these customers are more likely to feel a discount cut. Treat as a controlled test, not a policy change.</w:t>
      </w:r>
    </w:p>
    <w:p>
      <w:pPr>
        <w:pStyle w:val="ListParagraph"/>
        <w:numPr>
          <w:ilvl w:val="0"/>
          <w:numId w:val="2"/>
        </w:numPr>
        <w:spacing w:after="80"/>
      </w:pPr>
      <w:r>
        <w:rPr>
          <w:sz w:val="22"/>
          <w:szCs w:val="22"/>
        </w:rPr>
        <w:t xml:space="preserve">Rollout timeline: run a 20% discount reduction on a randomly held-out half of each cohort for 8 weeks starting Week 9, keeping the other half as a control.</w:t>
      </w:r>
    </w:p>
    <w:p>
      <w:pPr>
        <w:pStyle w:val="ListParagraph"/>
        <w:numPr>
          <w:ilvl w:val="0"/>
          <w:numId w:val="2"/>
        </w:numPr>
        <w:spacing w:after="80"/>
      </w:pPr>
      <w:r>
        <w:rPr>
          <w:sz w:val="22"/>
          <w:szCs w:val="22"/>
        </w:rPr>
        <w:t xml:space="preserve">Margin impact: modest and conditional — only extend the reduction to the full cohort if the test group's purchase frequency stays within 5% of the control group's.</w:t>
      </w:r>
    </w:p>
    <w:p>
      <w:pPr>
        <w:pStyle w:val="ListParagraph"/>
        <w:numPr>
          <w:ilvl w:val="0"/>
          <w:numId w:val="2"/>
        </w:numPr>
        <w:spacing w:after="80"/>
      </w:pPr>
      <w:r>
        <w:rPr>
          <w:sz w:val="22"/>
          <w:szCs w:val="22"/>
        </w:rPr>
        <w:t xml:space="preserve">Metric to track: purchase-frequency delta between test and control halves; loyalty-score drift for the test half.</w:t>
      </w:r>
    </w:p>
    <w:p>
      <w:pPr>
        <w:spacing w:after="160"/>
      </w:pPr>
      <w:r>
        <w:rPr>
          <w:b/>
          <w:bCs/>
          <w:sz w:val="22"/>
          <w:szCs w:val="22"/>
        </w:rPr>
        <w:t xml:space="preserve">Hold — New, and Monthly/Quarterly/Annual buyers of any tenure</w:t>
      </w:r>
    </w:p>
    <w:p>
      <w:pPr>
        <w:pStyle w:val="ListParagraph"/>
        <w:numPr>
          <w:ilvl w:val="0"/>
          <w:numId w:val="2"/>
        </w:numPr>
        <w:spacing w:after="80"/>
      </w:pPr>
      <w:r>
        <w:rPr>
          <w:sz w:val="22"/>
          <w:szCs w:val="22"/>
        </w:rPr>
        <w:t xml:space="preserve">Trigger behavior: any Subscriber in the New tenure tier, or any Subscriber purchasing Monthly, Quarterly, or Annually regardless of tenure — dependency scores here range from roughly 0.44 up to 0.93.</w:t>
      </w:r>
    </w:p>
    <w:p>
      <w:pPr>
        <w:pStyle w:val="ListParagraph"/>
        <w:numPr>
          <w:ilvl w:val="0"/>
          <w:numId w:val="2"/>
        </w:numPr>
        <w:spacing w:after="80"/>
      </w:pPr>
      <w:r>
        <w:rPr>
          <w:sz w:val="22"/>
          <w:szCs w:val="22"/>
        </w:rPr>
        <w:t xml:space="preserve">Action: continue full discount support. Removing incentives here risks losing volume from customers who have not yet built purchase habits independent of the promotion.</w:t>
      </w:r>
    </w:p>
    <w:p>
      <w:pPr>
        <w:pStyle w:val="ListParagraph"/>
        <w:numPr>
          <w:ilvl w:val="0"/>
          <w:numId w:val="2"/>
        </w:numPr>
        <w:spacing w:after="80"/>
      </w:pPr>
      <w:r>
        <w:rPr>
          <w:sz w:val="22"/>
          <w:szCs w:val="22"/>
        </w:rPr>
        <w:t xml:space="preserve">Metric to track: revisit this group's dependency and frequency scores quarterly; graduate individual customers into Phase 3/4 review once tenure moves to Established or Loyal.</w:t>
      </w:r>
    </w:p>
    <w:p>
      <w:pPr>
        <w:spacing w:after="80"/>
      </w:pPr>
    </w:p>
    <w:p>
      <w:pPr>
        <w:pStyle w:val="Heading1"/>
        <w:spacing w:after="140" w:before="320"/>
      </w:pPr>
      <w:r>
        <w:rPr>
          <w:b/>
          <w:bCs/>
          <w:color w:val="2E5077"/>
        </w:rPr>
        <w:t xml:space="preserve">2. Ideal Customer Profile</w:t>
      </w:r>
    </w:p>
    <w:p>
      <w:pPr>
        <w:spacing w:after="160" w:before="60"/>
      </w:pPr>
      <w:r>
        <w:rPr>
          <w:i/>
          <w:iCs/>
          <w:color w:val="595959"/>
          <w:sz w:val="20"/>
          <w:szCs w:val="20"/>
        </w:rPr>
        <w:t xml:space="preserve">Basis: Query F1 — customers where value_tier = Premium and promo_persona = Organic</w:t>
      </w:r>
    </w:p>
    <w:p>
      <w:pPr>
        <w:spacing w:after="160"/>
      </w:pPr>
      <w:r>
        <w:rPr>
          <w:sz w:val="22"/>
          <w:szCs w:val="22"/>
        </w:rPr>
        <w:t xml:space="preserve">The ideal customer is defined as one who is both commercially valuable (Premium value tier — top quartile of spend × tenure × frequency) and structurally loyal (Organic persona — purchases without ever using a discount, so a loyalty score above zero reflects genuine brand pull, not promotional dependence). This combination isolates the customer type marketing should replicate through acquisition, not the customer type retention has to manufacture through discounting.</w:t>
      </w:r>
    </w:p>
    <w:p>
      <w:pPr>
        <w:pStyle w:val="Heading2"/>
        <w:spacing w:after="140" w:before="320"/>
      </w:pPr>
      <w:r>
        <w:rPr>
          <w:b/>
          <w:bCs/>
          <w:color w:val="2E5077"/>
        </w:rPr>
        <w:t xml:space="preserve">Headline profile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2E5077" w:val="clear"/>
            <w:tcMar>
              <w:top w:type="dxa" w:w="100"/>
              <w:left w:type="dxa" w:w="120"/>
              <w:bottom w:type="dxa" w:w="100"/>
              <w:right w:type="dxa" w:w="120"/>
            </w:tcMar>
            <w:vAlign w:val="center"/>
          </w:tcPr>
          <w:p>
            <w:pPr>
              <w:jc w:val="center"/>
            </w:pPr>
            <w:r>
              <w:rPr>
                <w:b/>
                <w:bCs/>
                <w:color w:val="FFFFFF"/>
                <w:sz w:val="19"/>
                <w:szCs w:val="19"/>
              </w:rPr>
              <w:t xml:space="preserve">Attribute</w:t>
            </w:r>
          </w:p>
        </w:tc>
        <w:tc>
          <w:tcPr>
            <w:tcW w:type="dxa" w:w="6800"/>
            <w:shd w:fill="2E5077" w:val="clear"/>
            <w:tcMar>
              <w:top w:type="dxa" w:w="100"/>
              <w:left w:type="dxa" w:w="120"/>
              <w:bottom w:type="dxa" w:w="100"/>
              <w:right w:type="dxa" w:w="120"/>
            </w:tcMar>
            <w:vAlign w:val="center"/>
          </w:tcPr>
          <w:p>
            <w:pPr>
              <w:jc w:val="center"/>
            </w:pPr>
            <w:r>
              <w:rPr>
                <w:b/>
                <w:bCs/>
                <w:color w:val="FFFFFF"/>
                <w:sz w:val="19"/>
                <w:szCs w:val="19"/>
              </w:rPr>
              <w:t xml:space="preserve">Finding</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Age</w:t>
            </w:r>
          </w:p>
        </w:tc>
        <w:tc>
          <w:tcPr>
            <w:tcW w:type="dxa" w:w="68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36–50 and 51–70 — mature, established customers outperform every younger age band on loyalty</w:t>
            </w:r>
          </w:p>
        </w:tc>
      </w:tr>
      <w:tr>
        <w:tc>
          <w:tcPr>
            <w:tcW w:type="dxa" w:w="2400"/>
            <w:shd w:fill="EAF0F6" w:val="clear"/>
            <w:tcMar>
              <w:top w:type="dxa" w:w="100"/>
              <w:left w:type="dxa" w:w="120"/>
              <w:bottom w:type="dxa" w:w="100"/>
              <w:right w:type="dxa" w:w="120"/>
            </w:tcMar>
            <w:vAlign w:val="center"/>
          </w:tcPr>
          <w:p>
            <w:pPr>
              <w:jc w:val="left"/>
            </w:pPr>
            <w:r>
              <w:rPr>
                <w:b w:val="false"/>
                <w:bCs w:val="false"/>
                <w:color w:val="1F2937"/>
                <w:sz w:val="19"/>
                <w:szCs w:val="19"/>
              </w:rPr>
              <w:t xml:space="preserve">Gender</w:t>
            </w:r>
          </w:p>
        </w:tc>
        <w:tc>
          <w:tcPr>
            <w:tcW w:type="dxa" w:w="680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Present on both sides; top combinations are roughly evenly split between Female and Male</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Category</w:t>
            </w:r>
          </w:p>
        </w:tc>
        <w:tc>
          <w:tcPr>
            <w:tcW w:type="dxa" w:w="68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Accessories, Footwear, and Clothing — the three categories driving the largest concentrations of Premium Organic customers</w:t>
            </w:r>
          </w:p>
        </w:tc>
      </w:tr>
      <w:tr>
        <w:tc>
          <w:tcPr>
            <w:tcW w:type="dxa" w:w="2400"/>
            <w:shd w:fill="EAF0F6" w:val="clear"/>
            <w:tcMar>
              <w:top w:type="dxa" w:w="100"/>
              <w:left w:type="dxa" w:w="120"/>
              <w:bottom w:type="dxa" w:w="100"/>
              <w:right w:type="dxa" w:w="120"/>
            </w:tcMar>
            <w:vAlign w:val="center"/>
          </w:tcPr>
          <w:p>
            <w:pPr>
              <w:jc w:val="left"/>
            </w:pPr>
            <w:r>
              <w:rPr>
                <w:b w:val="false"/>
                <w:bCs w:val="false"/>
                <w:color w:val="1F2937"/>
                <w:sz w:val="19"/>
                <w:szCs w:val="19"/>
              </w:rPr>
              <w:t xml:space="preserve">Persona</w:t>
            </w:r>
          </w:p>
        </w:tc>
        <w:tc>
          <w:tcPr>
            <w:tcW w:type="dxa" w:w="680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Organic — zero promotion dependency by definition</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Value tier</w:t>
            </w:r>
          </w:p>
        </w:tc>
        <w:tc>
          <w:tcPr>
            <w:tcW w:type="dxa" w:w="68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Premium — top quartile on the composite value metric (spend × tenure × frequency)</w:t>
            </w:r>
          </w:p>
        </w:tc>
      </w:tr>
      <w:tr>
        <w:tc>
          <w:tcPr>
            <w:tcW w:type="dxa" w:w="2400"/>
            <w:shd w:fill="EAF0F6" w:val="clear"/>
            <w:tcMar>
              <w:top w:type="dxa" w:w="100"/>
              <w:left w:type="dxa" w:w="120"/>
              <w:bottom w:type="dxa" w:w="100"/>
              <w:right w:type="dxa" w:w="120"/>
            </w:tcMar>
            <w:vAlign w:val="center"/>
          </w:tcPr>
          <w:p>
            <w:pPr>
              <w:jc w:val="left"/>
            </w:pPr>
            <w:r>
              <w:rPr>
                <w:b w:val="false"/>
                <w:bCs w:val="false"/>
                <w:color w:val="1F2937"/>
                <w:sz w:val="19"/>
                <w:szCs w:val="19"/>
              </w:rPr>
              <w:t xml:space="preserve">Share of base</w:t>
            </w:r>
          </w:p>
        </w:tc>
        <w:tc>
          <w:tcPr>
            <w:tcW w:type="dxa" w:w="680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Premium customers are 25.0% of the total base; Organic customers are 57.0% of the total base</w:t>
            </w:r>
          </w:p>
        </w:tc>
      </w:tr>
    </w:tbl>
    <w:p>
      <w:pPr>
        <w:spacing w:after="200"/>
      </w:pPr>
    </w:p>
    <w:p>
      <w:pPr>
        <w:pStyle w:val="Heading2"/>
        <w:spacing w:after="140" w:before="320"/>
      </w:pPr>
      <w:r>
        <w:rPr>
          <w:b/>
          <w:bCs/>
          <w:color w:val="2E5077"/>
        </w:rPr>
        <w:t xml:space="preserve">Top-performing micro-segments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1700"/>
        <w:gridCol w:w="1900"/>
      </w:tblGrid>
      <w:tr>
        <w:trPr>
          <w:tblHeader/>
        </w:trPr>
        <w:tc>
          <w:tcPr>
            <w:tcW w:type="dxa" w:w="1600"/>
            <w:shd w:fill="2E5077" w:val="clear"/>
            <w:tcMar>
              <w:top w:type="dxa" w:w="100"/>
              <w:left w:type="dxa" w:w="120"/>
              <w:bottom w:type="dxa" w:w="100"/>
              <w:right w:type="dxa" w:w="120"/>
            </w:tcMar>
            <w:vAlign w:val="center"/>
          </w:tcPr>
          <w:p>
            <w:pPr>
              <w:jc w:val="center"/>
            </w:pPr>
            <w:r>
              <w:rPr>
                <w:b/>
                <w:bCs/>
                <w:color w:val="FFFFFF"/>
                <w:sz w:val="19"/>
                <w:szCs w:val="19"/>
              </w:rPr>
              <w:t xml:space="preserve">Age Group</w:t>
            </w:r>
          </w:p>
        </w:tc>
        <w:tc>
          <w:tcPr>
            <w:tcW w:type="dxa" w:w="1600"/>
            <w:shd w:fill="2E5077" w:val="clear"/>
            <w:tcMar>
              <w:top w:type="dxa" w:w="100"/>
              <w:left w:type="dxa" w:w="120"/>
              <w:bottom w:type="dxa" w:w="100"/>
              <w:right w:type="dxa" w:w="120"/>
            </w:tcMar>
            <w:vAlign w:val="center"/>
          </w:tcPr>
          <w:p>
            <w:pPr>
              <w:jc w:val="center"/>
            </w:pPr>
            <w:r>
              <w:rPr>
                <w:b/>
                <w:bCs/>
                <w:color w:val="FFFFFF"/>
                <w:sz w:val="19"/>
                <w:szCs w:val="19"/>
              </w:rPr>
              <w:t xml:space="preserve">Gender</w:t>
            </w:r>
          </w:p>
        </w:tc>
        <w:tc>
          <w:tcPr>
            <w:tcW w:type="dxa" w:w="2400"/>
            <w:shd w:fill="2E5077" w:val="clear"/>
            <w:tcMar>
              <w:top w:type="dxa" w:w="100"/>
              <w:left w:type="dxa" w:w="120"/>
              <w:bottom w:type="dxa" w:w="100"/>
              <w:right w:type="dxa" w:w="120"/>
            </w:tcMar>
            <w:vAlign w:val="center"/>
          </w:tcPr>
          <w:p>
            <w:pPr>
              <w:jc w:val="center"/>
            </w:pPr>
            <w:r>
              <w:rPr>
                <w:b/>
                <w:bCs/>
                <w:color w:val="FFFFFF"/>
                <w:sz w:val="19"/>
                <w:szCs w:val="19"/>
              </w:rPr>
              <w:t xml:space="preserve">Category</w:t>
            </w:r>
          </w:p>
        </w:tc>
        <w:tc>
          <w:tcPr>
            <w:tcW w:type="dxa" w:w="1700"/>
            <w:shd w:fill="2E5077" w:val="clear"/>
            <w:tcMar>
              <w:top w:type="dxa" w:w="100"/>
              <w:left w:type="dxa" w:w="120"/>
              <w:bottom w:type="dxa" w:w="100"/>
              <w:right w:type="dxa" w:w="120"/>
            </w:tcMar>
            <w:vAlign w:val="center"/>
          </w:tcPr>
          <w:p>
            <w:pPr>
              <w:jc w:val="center"/>
            </w:pPr>
            <w:r>
              <w:rPr>
                <w:b/>
                <w:bCs/>
                <w:color w:val="FFFFFF"/>
                <w:sz w:val="19"/>
                <w:szCs w:val="19"/>
              </w:rPr>
              <w:t xml:space="preserve">Customers</w:t>
            </w:r>
          </w:p>
        </w:tc>
        <w:tc>
          <w:tcPr>
            <w:tcW w:type="dxa" w:w="1900"/>
            <w:shd w:fill="2E5077" w:val="clear"/>
            <w:tcMar>
              <w:top w:type="dxa" w:w="100"/>
              <w:left w:type="dxa" w:w="120"/>
              <w:bottom w:type="dxa" w:w="100"/>
              <w:right w:type="dxa" w:w="120"/>
            </w:tcMar>
            <w:vAlign w:val="center"/>
          </w:tcPr>
          <w:p>
            <w:pPr>
              <w:jc w:val="center"/>
            </w:pPr>
            <w:r>
              <w:rPr>
                <w:b/>
                <w:bCs/>
                <w:color w:val="FFFFFF"/>
                <w:sz w:val="19"/>
                <w:szCs w:val="19"/>
              </w:rPr>
              <w:t xml:space="preserve">Avg Loyalty</w:t>
            </w:r>
          </w:p>
        </w:tc>
      </w:tr>
      <w:tr>
        <w:tc>
          <w:tcPr>
            <w:tcW w:type="dxa" w:w="16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36–50</w:t>
            </w:r>
          </w:p>
        </w:tc>
        <w:tc>
          <w:tcPr>
            <w:tcW w:type="dxa" w:w="16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Female</w:t>
            </w:r>
          </w:p>
        </w:tc>
        <w:tc>
          <w:tcPr>
            <w:tcW w:type="dxa" w:w="24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Accessories</w:t>
            </w:r>
          </w:p>
        </w:tc>
        <w:tc>
          <w:tcPr>
            <w:tcW w:type="dxa" w:w="17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20</w:t>
            </w:r>
          </w:p>
        </w:tc>
        <w:tc>
          <w:tcPr>
            <w:tcW w:type="dxa" w:w="19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0.588</w:t>
            </w:r>
          </w:p>
        </w:tc>
      </w:tr>
      <w:tr>
        <w:tc>
          <w:tcPr>
            <w:tcW w:type="dxa" w:w="1600"/>
            <w:shd w:fill="EAF0F6" w:val="clear"/>
            <w:tcMar>
              <w:top w:type="dxa" w:w="100"/>
              <w:left w:type="dxa" w:w="120"/>
              <w:bottom w:type="dxa" w:w="100"/>
              <w:right w:type="dxa" w:w="120"/>
            </w:tcMar>
            <w:vAlign w:val="center"/>
          </w:tcPr>
          <w:p>
            <w:pPr>
              <w:jc w:val="left"/>
            </w:pPr>
            <w:r>
              <w:rPr>
                <w:b w:val="false"/>
                <w:bCs w:val="false"/>
                <w:color w:val="1F2937"/>
                <w:sz w:val="19"/>
                <w:szCs w:val="19"/>
              </w:rPr>
              <w:t xml:space="preserve">36–50</w:t>
            </w:r>
          </w:p>
        </w:tc>
        <w:tc>
          <w:tcPr>
            <w:tcW w:type="dxa" w:w="160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Male</w:t>
            </w:r>
          </w:p>
        </w:tc>
        <w:tc>
          <w:tcPr>
            <w:tcW w:type="dxa" w:w="240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Footwear</w:t>
            </w:r>
          </w:p>
        </w:tc>
        <w:tc>
          <w:tcPr>
            <w:tcW w:type="dxa" w:w="170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11</w:t>
            </w:r>
          </w:p>
        </w:tc>
        <w:tc>
          <w:tcPr>
            <w:tcW w:type="dxa" w:w="190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0.572</w:t>
            </w:r>
          </w:p>
        </w:tc>
      </w:tr>
      <w:tr>
        <w:tc>
          <w:tcPr>
            <w:tcW w:type="dxa" w:w="16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51–70</w:t>
            </w:r>
          </w:p>
        </w:tc>
        <w:tc>
          <w:tcPr>
            <w:tcW w:type="dxa" w:w="16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Female</w:t>
            </w:r>
          </w:p>
        </w:tc>
        <w:tc>
          <w:tcPr>
            <w:tcW w:type="dxa" w:w="24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Outerwear</w:t>
            </w:r>
          </w:p>
        </w:tc>
        <w:tc>
          <w:tcPr>
            <w:tcW w:type="dxa" w:w="17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8</w:t>
            </w:r>
          </w:p>
        </w:tc>
        <w:tc>
          <w:tcPr>
            <w:tcW w:type="dxa" w:w="19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0.557</w:t>
            </w:r>
          </w:p>
        </w:tc>
      </w:tr>
      <w:tr>
        <w:tc>
          <w:tcPr>
            <w:tcW w:type="dxa" w:w="1600"/>
            <w:shd w:fill="EAF0F6" w:val="clear"/>
            <w:tcMar>
              <w:top w:type="dxa" w:w="100"/>
              <w:left w:type="dxa" w:w="120"/>
              <w:bottom w:type="dxa" w:w="100"/>
              <w:right w:type="dxa" w:w="120"/>
            </w:tcMar>
            <w:vAlign w:val="center"/>
          </w:tcPr>
          <w:p>
            <w:pPr>
              <w:jc w:val="left"/>
            </w:pPr>
            <w:r>
              <w:rPr>
                <w:b w:val="false"/>
                <w:bCs w:val="false"/>
                <w:color w:val="1F2937"/>
                <w:sz w:val="19"/>
                <w:szCs w:val="19"/>
              </w:rPr>
              <w:t xml:space="preserve">51–70</w:t>
            </w:r>
          </w:p>
        </w:tc>
        <w:tc>
          <w:tcPr>
            <w:tcW w:type="dxa" w:w="160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Female</w:t>
            </w:r>
          </w:p>
        </w:tc>
        <w:tc>
          <w:tcPr>
            <w:tcW w:type="dxa" w:w="240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Footwear</w:t>
            </w:r>
          </w:p>
        </w:tc>
        <w:tc>
          <w:tcPr>
            <w:tcW w:type="dxa" w:w="170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21</w:t>
            </w:r>
          </w:p>
        </w:tc>
        <w:tc>
          <w:tcPr>
            <w:tcW w:type="dxa" w:w="1900"/>
            <w:shd w:fill="EAF0F6" w:val="clear"/>
            <w:tcMar>
              <w:top w:type="dxa" w:w="100"/>
              <w:left w:type="dxa" w:w="120"/>
              <w:bottom w:type="dxa" w:w="100"/>
              <w:right w:type="dxa" w:w="120"/>
            </w:tcMar>
            <w:vAlign w:val="center"/>
          </w:tcPr>
          <w:p>
            <w:pPr>
              <w:jc w:val="center"/>
            </w:pPr>
            <w:r>
              <w:rPr>
                <w:b w:val="false"/>
                <w:bCs w:val="false"/>
                <w:color w:val="1F2937"/>
                <w:sz w:val="19"/>
                <w:szCs w:val="19"/>
              </w:rPr>
              <w:t xml:space="preserve">0.556</w:t>
            </w:r>
          </w:p>
        </w:tc>
      </w:tr>
      <w:tr>
        <w:tc>
          <w:tcPr>
            <w:tcW w:type="dxa" w:w="16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51–70</w:t>
            </w:r>
          </w:p>
        </w:tc>
        <w:tc>
          <w:tcPr>
            <w:tcW w:type="dxa" w:w="16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Male</w:t>
            </w:r>
          </w:p>
        </w:tc>
        <w:tc>
          <w:tcPr>
            <w:tcW w:type="dxa" w:w="24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Clothing</w:t>
            </w:r>
          </w:p>
        </w:tc>
        <w:tc>
          <w:tcPr>
            <w:tcW w:type="dxa" w:w="17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45</w:t>
            </w:r>
          </w:p>
        </w:tc>
        <w:tc>
          <w:tcPr>
            <w:tcW w:type="dxa" w:w="1900"/>
            <w:shd w:fill="FFFFFF" w:val="clear"/>
            <w:tcMar>
              <w:top w:type="dxa" w:w="100"/>
              <w:left w:type="dxa" w:w="120"/>
              <w:bottom w:type="dxa" w:w="100"/>
              <w:right w:type="dxa" w:w="120"/>
            </w:tcMar>
            <w:vAlign w:val="center"/>
          </w:tcPr>
          <w:p>
            <w:pPr>
              <w:jc w:val="center"/>
            </w:pPr>
            <w:r>
              <w:rPr>
                <w:b w:val="false"/>
                <w:bCs w:val="false"/>
                <w:color w:val="1F2937"/>
                <w:sz w:val="19"/>
                <w:szCs w:val="19"/>
              </w:rPr>
              <w:t xml:space="preserve">0.555</w:t>
            </w:r>
          </w:p>
        </w:tc>
      </w:tr>
    </w:tbl>
    <w:p>
      <w:pPr>
        <w:spacing w:after="200"/>
      </w:pPr>
    </w:p>
    <w:p>
      <w:pPr>
        <w:pStyle w:val="Heading2"/>
        <w:spacing w:after="140" w:before="320"/>
      </w:pPr>
      <w:r>
        <w:rPr>
          <w:b/>
          <w:bCs/>
          <w:color w:val="2E5077"/>
        </w:rPr>
        <w:t xml:space="preserve">How marketing should use this</w:t>
      </w:r>
    </w:p>
    <w:p>
      <w:pPr>
        <w:pStyle w:val="ListParagraph"/>
        <w:numPr>
          <w:ilvl w:val="0"/>
          <w:numId w:val="2"/>
        </w:numPr>
        <w:spacing w:after="80"/>
      </w:pPr>
      <w:r>
        <w:rPr>
          <w:sz w:val="22"/>
          <w:szCs w:val="22"/>
        </w:rPr>
        <w:t xml:space="preserve">Acquisition targeting: prioritize lookalike audiences built on the 36–50 and 51–70 age bands rather than the 18–25 segment that discount-led acquisition typically over-indexes on.</w:t>
      </w:r>
    </w:p>
    <w:p>
      <w:pPr>
        <w:pStyle w:val="ListParagraph"/>
        <w:numPr>
          <w:ilvl w:val="0"/>
          <w:numId w:val="2"/>
        </w:numPr>
        <w:spacing w:after="80"/>
      </w:pPr>
      <w:r>
        <w:rPr>
          <w:sz w:val="22"/>
          <w:szCs w:val="22"/>
        </w:rPr>
        <w:t xml:space="preserve">Creative and merchandising: lead campaigns with Accessories, Footwear, and Clothing — the categories with the largest concentrations of Premium Organic customers — rather than spreading spend evenly across all four categories.</w:t>
      </w:r>
    </w:p>
    <w:p>
      <w:pPr>
        <w:pStyle w:val="ListParagraph"/>
        <w:numPr>
          <w:ilvl w:val="0"/>
          <w:numId w:val="2"/>
        </w:numPr>
        <w:spacing w:after="80"/>
      </w:pPr>
      <w:r>
        <w:rPr>
          <w:sz w:val="22"/>
          <w:szCs w:val="22"/>
        </w:rPr>
        <w:t xml:space="preserve">Offer design: do not lead acquisition creative with a discount code. This profile is defined by the absence of promotional dependence, so a discount-first acquisition funnel will tend to bring in the opposite persona (Promo Opportunist) instead.</w:t>
      </w:r>
    </w:p>
    <w:p>
      <w:pPr>
        <w:pStyle w:val="ListParagraph"/>
        <w:numPr>
          <w:ilvl w:val="0"/>
          <w:numId w:val="2"/>
        </w:numPr>
        <w:spacing w:after="80"/>
      </w:pPr>
      <w:r>
        <w:rPr>
          <w:sz w:val="22"/>
          <w:szCs w:val="22"/>
        </w:rPr>
        <w:t xml:space="preserve">Largest-volume segment to replicate: 51–70 Male / Clothing (45 customers, 0.555 loyalty) is the largest single micro-segment above the 0.5 loyalty mark — the best candidate for a dedicated lookalike campaign given both scale and quality.</w:t>
      </w:r>
    </w:p>
    <w:p>
      <w:pPr>
        <w:spacing w:after="160"/>
      </w:pPr>
    </w:p>
    <w:p>
      <w:pPr>
        <w:pStyle w:val="Heading2"/>
        <w:spacing w:after="140" w:before="320"/>
      </w:pPr>
      <w:r>
        <w:rPr>
          <w:b/>
          <w:bCs/>
          <w:color w:val="2E5077"/>
        </w:rPr>
        <w:t xml:space="preserve">Summary</w:t>
      </w:r>
    </w:p>
    <w:p>
      <w:pPr>
        <w:spacing w:after="160"/>
      </w:pPr>
      <w:r>
        <w:rPr>
          <w:sz w:val="22"/>
          <w:szCs w:val="22"/>
        </w:rPr>
        <w:t xml:space="preserve">Sunset the discount for Loyal + Weekly Subscribers first, taper it through Established + Weekly, pilot it cautiously on the two ~0.30-dependency cohorts, and hold it everywhere else. In parallel, direct acquisition spend at the 36–50 / 51–70, Accessories–Footwear–Clothing, Organic-first profile — the segment already proven to generate Premium-tier value without any promotional support.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2026-08-11T23:57:22.546Z</dcterms:created>
  <dcterms:modified xsi:type="dcterms:W3CDTF">2026-08-11T23:57:22.546Z</dcterms:modified>
</cp:coreProperties>
</file>

<file path=docProps/custom.xml><?xml version="1.0" encoding="utf-8"?>
<Properties xmlns="http://schemas.openxmlformats.org/officeDocument/2006/custom-properties" xmlns:vt="http://schemas.openxmlformats.org/officeDocument/2006/docPropsVTypes"/>
</file>