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2"/>
        </w:rPr>
        <w:t>⚡ Sikho-AI Backend Engineering &amp; x402 Payment Lifecycle</w:t>
      </w:r>
    </w:p>
    <w:p>
      <w:pPr>
        <w:spacing w:before="0" w:after="200"/>
      </w:pPr>
      <w:r>
        <w:rPr>
          <w:rFonts w:ascii="Arial" w:hAnsi="Arial"/>
          <w:color w:val="475569"/>
          <w:sz w:val="23"/>
        </w:rPr>
        <w:t>Comprehensive Technical Guide: Transaction Performance, Multi-Tier Storage Architecture, and GoPlausible Facilitator Settlement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8" w:space="0" w:color="2563EB"/>
              <w:bottom w:val="none"/>
              <w:right w:val="none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365D"/>
                <w:sz w:val="20"/>
              </w:rPr>
              <w:t xml:space="preserve">[EXECUTIVE REFERENCE] </w:t>
            </w:r>
            <w:r>
              <w:rPr>
                <w:rFonts w:ascii="Arial" w:hAnsi="Arial"/>
                <w:color w:val="2D3748"/>
                <w:sz w:val="19"/>
              </w:rPr>
              <w:t>This architectural specification details the complete backend lifecycle of x402 HTTP micropayments in the Sikho-AI platform. It covers the end-to-end request-response flow, cryptographic transaction group signing, GoPlausible facilitator validation and on-chain broadcasting, MongoDB multi-tier persistence schemas, Algorand indexer synchronization, and split-fee revenue distribution.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E3A8A"/>
        </w:rPr>
        <w:t>1. System Architecture &amp; Component Interactions</w:t>
      </w:r>
    </w:p>
    <w:p>
      <w:r>
        <w:t>Sikho-AI replaces conventional monthly software subscriptions ($30–$100/month) with fine-grained, cryptographically verified HTTP micropayments ($0.05–$0.50 USDC per operation). The backend is built to operate as a non-custodial Resource Server governed by the x402 standard, where access to high-value AI inference and automated code analysis is granted strictly upon verified on-chain settlement.</w:t>
      </w:r>
    </w:p>
    <w:p>
      <w:r>
        <w:t>The backend ecosystem comprises five primary interconnected components: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Component Layer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 / Stack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Role &amp; Functionality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Client Application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React 18, Vite, TypeScript, @txnlab/use-wallet-react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Initiates API calls, intercepts HTTP 402 Payment Required challenges, creates Algorand transaction groups, requests user cryptographic signatures via Pera/Defly/Lute wallets, and transmits Payment-Signature headers.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API Gateway &amp; Resource Server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Node.js, Express.js / Hono, TypeScript, Mongoose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Enforces x402 middleware protection across premium routes, canonicalizes request endpoints, builds payment-required metadata, relays verification to GoPlausible, records local transaction ledgers, and dispatches services.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AI &amp; Code Review Engines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Python FastAPI, Groq SDK (8-key rotation pool), PyPDF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Executes 9-step resume vs JD skill gap analyses, Principal Engineer interview rubric evaluations, and full GitHub codebase quality reviews upon verified payment.</w:t>
            </w:r>
          </w:p>
        </w:tc>
      </w:tr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x402 Facilitator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GoPlausible Cloud Service (https://facilitator.goplausible.xyz)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Decentralized verification and settlement engine. Validates cryptographic signatures, verifies sender balances, executes replay prevention, and broadcasts signed atomic transaction groups to the Algorand blockchain.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Persistence &amp; Ledger Layer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MongoDB Atlas (Database) + Algorand Blockchain Ledger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Dual-tier storage model: On-chain ledger guarantees immutable, audit-proof settlement; MongoDB Atlas maintains relational tracking, user progress, session state, platform fee ledger, and rapid index queries.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2. Transaction Performance &amp; Complete End-to-End Lifecycle</w:t>
      </w:r>
    </w:p>
    <w:p>
      <w:r>
        <w:t>The x402 protocol turns standard HTTP request cycles into atomic, cryptographically secured economic exchanges. Below is the exact step-by-step transaction flow from the initial unauthenticated call to final resource delivery.</w:t>
      </w:r>
    </w:p>
    <w:p>
      <w:pPr>
        <w:pStyle w:val="Heading3"/>
      </w:pPr>
      <w:r>
        <w:rPr>
          <w:color w:val="0F766E"/>
        </w:rPr>
        <w:t>Step 1: Client Request Dispatch (Unauthenticated)</w:t>
      </w:r>
    </w:p>
    <w:p>
      <w:pPr>
        <w:spacing w:after="80"/>
      </w:pPr>
      <w:r>
        <w:t>The client frontend issues a standard HTTP request (GET or POST) to a premium endpoint (e.g., /api/v1/resume/quality or /api/v1/interview-prep).</w:t>
        <w:br/>
        <w:t>Because this initial request carries no payment proof (no Payment-Signature or X-PAYMENT header), the backend middleware intercepts it immediately.</w:t>
      </w:r>
    </w:p>
    <w:p>
      <w:pPr>
        <w:pStyle w:val="Heading3"/>
      </w:pPr>
      <w:r>
        <w:rPr>
          <w:color w:val="0F766E"/>
        </w:rPr>
        <w:t>Step 2: Backend Interception &amp; HTTP 402 Challenge Generation</w:t>
      </w:r>
    </w:p>
    <w:p>
      <w:pPr>
        <w:spacing w:after="80"/>
      </w:pPr>
      <w:r>
        <w:t>The Express middleware (`enforceWorkspacePayment`) inspects request headers. Finding no payment header, it invokes `buildWorkspacePaymentRequired()` to construct a standardized x402 V2 response.</w:t>
        <w:br/>
        <w:t>The server halts request execution and returns HTTP Status 402 Payment Required along with response headers: PAYMENT-REQUIRED, X-PAYMENT-RESPONSE, and ACCESS-CONTROL-EXPOSE-HEADERS.</w:t>
        <w:br/>
        <w:t>The response body contains the price (e.g. 0.05 USDC = 50,000 micro-units), the receiver address (AVM_ADDRESS), the asset ID (ASA 31566704 on MainNet / 10458941 on TestNet), the CAIP-2 network identifier, and the Bazaar discovery schema.</w:t>
      </w:r>
    </w:p>
    <w:p>
      <w:pPr>
        <w:pStyle w:val="Heading3"/>
      </w:pPr>
      <w:r>
        <w:rPr>
          <w:color w:val="0F766E"/>
        </w:rPr>
        <w:t>Step 3: Atomic Transaction Group Construction</w:t>
      </w:r>
    </w:p>
    <w:p>
      <w:pPr>
        <w:spacing w:after="80"/>
      </w:pPr>
      <w:r>
        <w:t>The client's `@x402-avm/fetch` wrapper catches the 402 status. It reads the payment requirements and generates an atomic group of 2 Algorand transactions:</w:t>
        <w:br/>
        <w:t>• Transaction [0] (Setup Transaction - acfg/appl): Calls the Facilitator smart contract application to initialize the payment group context and attach metadata.</w:t>
        <w:br/>
        <w:t>• Transaction [1] (Payment Transfer - axfer): An Algorand Asset Transfer transaction transferring the exact micro-USDC amount from the user's wallet to the merchant's AVM_ADDRESS.</w:t>
        <w:br/>
        <w:t>Both transactions are bound together by an Algorand Group ID (`groupIndex` 0 and 1) ensuring all-or-nothing atomic execution on the blockchain.</w:t>
      </w:r>
    </w:p>
    <w:p>
      <w:pPr>
        <w:pStyle w:val="Heading3"/>
      </w:pPr>
      <w:r>
        <w:rPr>
          <w:color w:val="0F766E"/>
        </w:rPr>
        <w:t>Step 4: Non-Custodial Cryptographic Wallet Signing</w:t>
      </w:r>
    </w:p>
    <w:p>
      <w:pPr>
        <w:spacing w:after="80"/>
      </w:pPr>
      <w:r>
        <w:t>The client invokes `walletSigner.signTransactions([txn0, txn1])`. The browser triggers a signing popup via Pera, Defly, Lute, or Exodus.</w:t>
        <w:br/>
        <w:t>The user reviews the recipient, token asset, and amount, and authorizes the transaction with their private key.</w:t>
        <w:br/>
        <w:t>The wallet returns signed binary transaction arrays (`Uint8Array[]`).</w:t>
      </w:r>
    </w:p>
    <w:p>
      <w:pPr>
        <w:pStyle w:val="Heading3"/>
      </w:pPr>
      <w:r>
        <w:rPr>
          <w:color w:val="0F766E"/>
        </w:rPr>
        <w:t>Step 5: Client Re-Execution with Payment-Signature Header</w:t>
      </w:r>
    </w:p>
    <w:p>
      <w:pPr>
        <w:spacing w:after="80"/>
      </w:pPr>
      <w:r>
        <w:t>The client encodes the signed group into a base64 string conforming to the x402 V2 PaymentPayload specification:</w:t>
        <w:br/>
        <w:t>• `Payment-Signature: base64({ x402Version: 2, payload: { paymentGroup: [signed_txn0, signed_txn1], paymentIndex: 1 }, accepted: { scheme: 'exact', network: '...', payTo: '...' } })`</w:t>
        <w:br/>
        <w:t>The client automatically replays the original HTTP request, this time attaching the `Payment-Signature` header.</w:t>
      </w:r>
    </w:p>
    <w:p>
      <w:pPr>
        <w:pStyle w:val="Heading3"/>
      </w:pPr>
      <w:r>
        <w:rPr>
          <w:color w:val="0F766E"/>
        </w:rPr>
        <w:t>Step 6: Server Forwarding &amp; GoPlausible Facilitator Settlement</w:t>
      </w:r>
    </w:p>
    <w:p>
      <w:pPr>
        <w:spacing w:after="80"/>
      </w:pPr>
      <w:r>
        <w:t>The server's `enforceWorkspacePayment` middleware detects the `Payment-Signature` header, parses and decodes the payload, and calls `verifyX402Payment()`.</w:t>
        <w:br/>
        <w:t>The server issues an internal POST request to the GoPlausible Facilitator (`https://facilitator.goplausible.xyz/settle`) forwarding the payload and requirements.</w:t>
        <w:br/>
        <w:t>The facilitator cryptographically verifies the signatures, ensures sender balance and opt-in status, checks for replay attacks, broadcasts the transaction group to Algorand nodes, and waits for block confirmation (3.3-second block finality).</w:t>
      </w:r>
    </w:p>
    <w:p>
      <w:pPr>
        <w:pStyle w:val="Heading3"/>
      </w:pPr>
      <w:r>
        <w:rPr>
          <w:color w:val="0F766E"/>
        </w:rPr>
        <w:t>Step 7: Facilitator Confirmation &amp; Server Resource Fulfillment</w:t>
      </w:r>
    </w:p>
    <w:p>
      <w:pPr>
        <w:spacing w:after="80"/>
      </w:pPr>
      <w:r>
        <w:t>The Facilitator responds with `{ success: true, transaction: 'TX_ID_HASH', payer: 'SENDER_ADDRESS' }`.</w:t>
        <w:br/>
        <w:t>The server middleware records the transaction in MongoDB (`X402Transaction` &amp; `Payment`), sets outgoing HTTP headers `X-PAYMENT-RESPONSE` with the transaction hash receipt, and calls `next()`.</w:t>
        <w:br/>
        <w:t>The target controller executes the high-throughput Groq AI inference or code review engine and returns HTTP 200 OK with the unlocked data payload.</w:t>
      </w:r>
    </w:p>
    <w:p>
      <w:pPr>
        <w:spacing w:after="40"/>
      </w:pPr>
    </w:p>
    <w:p>
      <w:pPr>
        <w:pStyle w:val="Heading3"/>
      </w:pPr>
      <w:r>
        <w:rPr>
          <w:color w:val="1E3A8A"/>
        </w:rPr>
        <w:t>Architectural Protocol Sequence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Step #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→ Target</w:t>
            </w:r>
          </w:p>
        </w:tc>
        <w:tc>
          <w:tcPr>
            <w:tcW w:type="dxa" w:w="2592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Protocol Action / Payload</w:t>
            </w:r>
          </w:p>
        </w:tc>
        <w:tc>
          <w:tcPr>
            <w:tcW w:type="dxa" w:w="3456"/>
            <w:shd w:fill="0F76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HTTP / Blockchain State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Browser → Express API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GET/POST /api/v1/resource (no auth)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200 Pending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Express API → Browser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402 + Payment-Required JSON metadata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402 Payment Required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Browser ↔ User Wallet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Atomic Group [Setup Txn + axfer 50,000 µUSDC]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Cryptographic ECDSA Signature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Browser → Express API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Replay request with Payment-Signature header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200 In-Flight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Express API → Facilitator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POST /settle (x402 V2 payment payload)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Verification Handshake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6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Facilitator → Algorand Node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Broadcasts signed atomic transaction group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On-Chain Settlement (Round Finality)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Facilitator → Express API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Returns { success: true, transaction: txHash }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Proof of Settlement Confirmed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8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Express API → Mongo / AI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Saves X402Transaction + invokes Groq LLM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DB Write + AI Inference (100+ tps)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Express API → Browser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200 OK + Data + X-PAYMENT-RESPONSE Header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 200 Resource Unlocked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3. Data Persistence Architecture: How &amp; Where Data is Stored</w:t>
      </w:r>
    </w:p>
    <w:p>
      <w:r>
        <w:t>Sikho-AI employs a robust, resilient multi-tier persistence model. Transactions are simultaneously anchored immutably on the Algorand blockchain and indexed locally across dedicated MongoDB collections to ensure high-performance querying, accounting reconciliation, and platform auditability.</w:t>
      </w:r>
    </w:p>
    <w:p>
      <w:pPr>
        <w:pStyle w:val="Heading2"/>
      </w:pPr>
      <w:r>
        <w:rPr>
          <w:color w:val="2563EB"/>
        </w:rPr>
        <w:t>3.1 Tier 1: On-Chain Immutable Blockchain Ledger (Algorand MainNet / TestNet)</w:t>
      </w:r>
    </w:p>
    <w:p>
      <w:r>
        <w:t>Every micropayment executed through x402 produces a permanent on-chain transaction on Algorand. Because Algorand utilizes Pure Proof of Stake (PPoS) with immediate finality, transactions are finalized within 3.3 seconds without risk of forks or reorganization.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On-Chain Parameter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Production Value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Function &amp; Cryptographic Guarantee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Network CAIP-2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algorand:wGHE2Pwdvd7S12BL5FaOP20EGYesN73ktiC1qzkkit8=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Global CAIP-2 identifier for Algorand MainNet (TestNet: algorand:SGO1GKSzyE7IEPItTxCByw9x8FmnrCDexi9/cOUJOiI=).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Asset ID (ASA)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31566704 (USDC MainNet)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Official Circle USDC Standard Asset ID. Algorand TestNet ASA ID: 10458941.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Decimals &amp; Atomic Units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6 Decimals (1 USDC = 1,000,000 µUSDC)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$0.05 fee is exactly 50,000 atomic units; $0.25 is 250,000 atomic units.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Recipient (payTo)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AVM_ADDRESS / Treasury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Authoritative merchant treasury wallet address where payment funds are settled.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Transaction Type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Asset Transfer (axfer) in Atomic Group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Standard ASA transfer linked atomically to a setup app call (acfg/appl).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Transaction Note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Base64 Encoded Metadata String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Includes operation metadata: e.g., 'x402:resume_improvement', 'x402:interview_prep' for automated indexing.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Public Indexer Visibility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Algonode / AlgoScan / Pera Explorer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Publicly verifiable via `https://mainnet-idx.algonode.cloud/v2/transactions/{txId}`.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2563EB"/>
        </w:rPr>
        <w:t>3.2 Tier 2: Application Database Schemas (MongoDB Atlas)</w:t>
      </w:r>
    </w:p>
    <w:p>
      <w:r>
        <w:t>Inside MongoDB, transaction data is structured across specialized schemas tailored for operational efficiency, analytics tracking, split-fee reconciliation, and user entitlement verification.</w:t>
      </w:r>
    </w:p>
    <w:p>
      <w:r>
        <w:rPr>
          <w:b/>
          <w:color w:val="1E293B"/>
        </w:rPr>
        <w:t>A. X402Transaction Model (`models/X402Transaction.model.ts`)</w:t>
      </w:r>
    </w:p>
    <w:p>
      <w:r>
        <w:t>A streamlined operational ledger recording every micropayment at the middleware layer. It stores the user identity, service ID, target resource, price, payer wallet address, blockchain transaction hash, and settlement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94A3B8"/>
                <w:sz w:val="17"/>
              </w:rPr>
              <w:t>// TYPESCRIPT SCHEMA: X402Transaction</w:t>
              <w:br/>
            </w:r>
            <w:r>
              <w:rPr>
                <w:rFonts w:ascii="Consolas" w:hAnsi="Consolas"/>
                <w:color w:val="E2E8F0"/>
                <w:sz w:val="18"/>
              </w:rPr>
              <w:t>interface IX402Transaction extends Document {</w:t>
              <w:br/>
              <w:t xml:space="preserve">  userId: string;</w:t>
              <w:br/>
              <w:t xml:space="preserve">  serviceId: string;        // 'job_analysis', 'resume_improvement', 'interview_prep', etc.</w:t>
              <w:br/>
              <w:t xml:space="preserve">  resourceId?: string;      // specific resumeId, jobId, or chapter path</w:t>
              <w:br/>
              <w:t xml:space="preserve">  amount: number;           // e.g. 0.05, 0.25 (USDC)</w:t>
              <w:br/>
              <w:t xml:space="preserve">  currency: string;         // 'USDC'</w:t>
              <w:br/>
              <w:t xml:space="preserve">  walletAddress: string;    // Payer's public Algorand address</w:t>
              <w:br/>
              <w:t xml:space="preserve">  txHash: string;           // On-chain Algorand transaction ID</w:t>
              <w:br/>
              <w:t xml:space="preserve">  status: string;           // 'Success' | 'Failed'</w:t>
              <w:br/>
              <w:t xml:space="preserve">  timestamp: Date;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1E293B"/>
        </w:rPr>
        <w:t>B. ServiceTransaction Model (`models/ServiceTransaction.model.ts`)</w:t>
      </w:r>
    </w:p>
    <w:p>
      <w:r>
        <w:t>Manages complex multi-party and split-payment transactions (e.g. GitHub code reviews via Prism). Tracks the breakdown between the total user fee ($0.25), platform fee ($0.05), and downstream provider cost ($0.20), along with multi-state workflow tracking (`pending` → `payment_confirmed` → `processing` → `completed`).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94A3B8"/>
                <w:sz w:val="17"/>
              </w:rPr>
              <w:t>// TYPESCRIPT SCHEMA: ServiceTransaction</w:t>
              <w:br/>
            </w:r>
            <w:r>
              <w:rPr>
                <w:rFonts w:ascii="Consolas" w:hAnsi="Consolas"/>
                <w:color w:val="E2E8F0"/>
                <w:sz w:val="18"/>
              </w:rPr>
              <w:t>interface IServiceTransaction extends Document {</w:t>
              <w:br/>
              <w:t xml:space="preserve">  requestId: string;                // Unique UUID for tracking</w:t>
              <w:br/>
              <w:t xml:space="preserve">  userId: string;                   // User initiating request</w:t>
              <w:br/>
              <w:t xml:space="preserve">  serviceId: string;                // 'prism-code-review'</w:t>
              <w:br/>
              <w:t xml:space="preserve">  providerId: string;               // 'Prism'</w:t>
              <w:br/>
              <w:t xml:space="preserve">  providerAmount: number;           // $0.20 USDC</w:t>
              <w:br/>
              <w:t xml:space="preserve">  platformFee: number;              // $0.05 USDC</w:t>
              <w:br/>
              <w:t xml:space="preserve">  userAmount: number;               // $0.25 USDC total</w:t>
              <w:br/>
              <w:t xml:space="preserve">  currency: string;                 // 'USDC'</w:t>
              <w:br/>
              <w:t xml:space="preserve">  network: string;                  // 'algorand:wGHE2Pwdvd7S12BL5FaOP20EGYesN73ktiC1qzkkit8='</w:t>
              <w:br/>
              <w:t xml:space="preserve">  status: ServiceTransactionStatus; // 'payment_confirmed' | 'completed' | 'failed'</w:t>
              <w:br/>
              <w:t xml:space="preserve">  userPaymentTxId?: string;         // Algorand TxID from user to Sikho treasury</w:t>
              <w:br/>
              <w:t xml:space="preserve">  providerPaymentTxId?: string;     // Algorand TxID from Sikho to provider</w:t>
              <w:br/>
              <w:t xml:space="preserve">  requestPayload: {                 // Snapshot of analyzed payload</w:t>
              <w:br/>
              <w:t xml:space="preserve">    file_path?: string;</w:t>
              <w:br/>
              <w:t xml:space="preserve">    raw_url?: string;</w:t>
              <w:br/>
              <w:t xml:space="preserve">    code?: string;</w:t>
              <w:br/>
              <w:t xml:space="preserve">    language?: string;</w:t>
              <w:br/>
              <w:t xml:space="preserve">  };</w:t>
              <w:br/>
              <w:t xml:space="preserve">  result?: any;                     // AI / Code audit result JSON</w:t>
              <w:br/>
              <w:t xml:space="preserve">  completedAt?: Date;</w:t>
              <w:br/>
              <w:t>}</w:t>
            </w:r>
          </w:p>
        </w:tc>
      </w:tr>
    </w:tbl>
    <w:p>
      <w:pPr>
        <w:spacing w:after="80"/>
      </w:pPr>
    </w:p>
    <w:p>
      <w:r>
        <w:rPr>
          <w:b/>
          <w:color w:val="1E293B"/>
        </w:rPr>
        <w:t>C. PlatformFeeTransaction Model (`models/PlatformFeeTransaction.model.ts`)</w:t>
      </w:r>
    </w:p>
    <w:p>
      <w:r>
        <w:t>An authoritative per-file revenue ledger with strict idempotency locks. Prevents double-charging users for multi-file codebase reviews by locking on `reviewId` + `fileId` combinations.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94A3B8"/>
                <w:sz w:val="17"/>
              </w:rPr>
              <w:t>// TYPESCRIPT SCHEMA: PlatformFeeTransaction</w:t>
              <w:br/>
            </w:r>
            <w:r>
              <w:rPr>
                <w:rFonts w:ascii="Consolas" w:hAnsi="Consolas"/>
                <w:color w:val="E2E8F0"/>
                <w:sz w:val="18"/>
              </w:rPr>
              <w:t>interface IPlatformFeeTransaction extends Document {</w:t>
              <w:br/>
              <w:t xml:space="preserve">  feeTransactionId: string; // 'fee_ref_1715000000_a1b2c3d4'</w:t>
              <w:br/>
              <w:t xml:space="preserve">  reviewId: string;         // Parent repository review ID</w:t>
              <w:br/>
              <w:t xml:space="preserve">  fileId: string;           // Target file UUID</w:t>
              <w:br/>
              <w:t xml:space="preserve">  filePath: string;         // 'src/controllers/auth.controller.ts'</w:t>
              <w:br/>
              <w:t xml:space="preserve">  amount: number;           // Exactly 50,000 micro-USDC ($0.05)</w:t>
              <w:br/>
              <w:t xml:space="preserve">  currency: string;         // 'USDC'</w:t>
              <w:br/>
              <w:t xml:space="preserve">  assetId: string;          // '31566704'</w:t>
              <w:br/>
              <w:t xml:space="preserve">  network: string;          // 'Algorand MainNet'</w:t>
              <w:br/>
              <w:t xml:space="preserve">  status: 'completed' | 'failed';</w:t>
              <w:br/>
              <w:t xml:space="preserve">  timestamp: Date;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63EB"/>
        </w:rPr>
        <w:t>3.3 Tier 3: Real-Time On-Chain Synchronization Daemon (`services/onchainSync.service.ts`)</w:t>
      </w:r>
    </w:p>
    <w:p>
      <w:r>
        <w:t>To guarantee accounting consistency and capture out-of-band wallet payments, the backend operates a background synchronization daemon. It queries the Algorand MainNet and TestNet public indexers every 15 seconds.</w:t>
      </w:r>
    </w:p>
    <w:p>
      <w:pPr>
        <w:pStyle w:val="ListBullet"/>
      </w:pPr>
      <w:r>
        <w:rPr>
          <w:b/>
          <w:color w:val="1E293B"/>
        </w:rPr>
        <w:t xml:space="preserve">Indexer Polling: </w:t>
      </w:r>
      <w:r>
        <w:rPr>
          <w:color w:val="475569"/>
        </w:rPr>
        <w:t>Fetches the latest 100 transactions for the configured `AVM_ADDRESS` treasury from `https://mainnet-idx.algonode.cloud/v2/accounts/{address}/transactions`.</w:t>
      </w:r>
    </w:p>
    <w:p>
      <w:pPr>
        <w:pStyle w:val="ListBullet"/>
      </w:pPr>
      <w:r>
        <w:rPr>
          <w:b/>
          <w:color w:val="1E293B"/>
        </w:rPr>
        <w:t xml:space="preserve">ASA &amp; Amount Filtering: </w:t>
      </w:r>
      <w:r>
        <w:rPr>
          <w:color w:val="475569"/>
        </w:rPr>
        <w:t>Filters for incoming Asset Transfers matching USDC ASA `31566704` (or `10458941`) and standard ALGO payments.</w:t>
      </w:r>
    </w:p>
    <w:p>
      <w:pPr>
        <w:pStyle w:val="ListBullet"/>
      </w:pPr>
      <w:r>
        <w:rPr>
          <w:b/>
          <w:color w:val="1E293B"/>
        </w:rPr>
        <w:t xml:space="preserve">Note Decoding &amp; Feature Matching: </w:t>
      </w:r>
      <w:r>
        <w:rPr>
          <w:color w:val="475569"/>
        </w:rPr>
        <w:t>Decodes the base64 transaction note to infer the purchased feature (e.g. 'Resume Intelligence', 'GitHub Review', 'Interview Prep').</w:t>
      </w:r>
    </w:p>
    <w:p>
      <w:pPr>
        <w:pStyle w:val="ListBullet"/>
      </w:pPr>
      <w:r>
        <w:rPr>
          <w:b/>
          <w:color w:val="1E293B"/>
        </w:rPr>
        <w:t xml:space="preserve">Database Upsert Reconciliation: </w:t>
      </w:r>
      <w:r>
        <w:rPr>
          <w:color w:val="475569"/>
        </w:rPr>
        <w:t>Executes an idempotent `Payment.findOneAndUpdate()` with `{ upsert: true }`, ensuring no payment is lost even during temporary network interruptions.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4. Facilitator Integration: How Data Relays to GoPlausible</w:t>
      </w:r>
    </w:p>
    <w:p>
      <w:r>
        <w:t>The GoPlausible Facilitator (`https://facilitator.goplausible.xyz`) is the decentralized settlement relayer governing the x402 protocol on Algorand. The backend acts as a verification orchestrator, transmitting signed client payloads to the facilitator for cryptographic verification and on-chain submission.</w:t>
      </w:r>
    </w:p>
    <w:p>
      <w:pPr>
        <w:pStyle w:val="Heading2"/>
      </w:pPr>
      <w:r>
        <w:rPr>
          <w:color w:val="2563EB"/>
        </w:rPr>
        <w:t>4.1 Core Responsibilities of the GoPlausible Facilitator</w:t>
      </w:r>
    </w:p>
    <w:p>
      <w:pPr>
        <w:pStyle w:val="ListBullet"/>
      </w:pPr>
      <w:r>
        <w:rPr>
          <w:b/>
          <w:color w:val="1E293B"/>
        </w:rPr>
        <w:t xml:space="preserve">Cryptographic Signature Verification: </w:t>
      </w:r>
      <w:r>
        <w:rPr>
          <w:color w:val="475569"/>
        </w:rPr>
        <w:t>Verifies that the transaction group contains valid ECDSA signatures corresponding to the sender's public Algorand key.</w:t>
      </w:r>
    </w:p>
    <w:p>
      <w:pPr>
        <w:pStyle w:val="ListBullet"/>
      </w:pPr>
      <w:r>
        <w:rPr>
          <w:b/>
          <w:color w:val="1E293B"/>
        </w:rPr>
        <w:t xml:space="preserve">Balance &amp; Asset Opt-in Checking: </w:t>
      </w:r>
      <w:r>
        <w:rPr>
          <w:color w:val="475569"/>
        </w:rPr>
        <w:t>Checks on-chain state to confirm that the sender has sufficient USDC balance (e.g. &gt;= 0.05 USDC) and is opted into ASA 31566704.</w:t>
      </w:r>
    </w:p>
    <w:p>
      <w:pPr>
        <w:pStyle w:val="ListBullet"/>
      </w:pPr>
      <w:r>
        <w:rPr>
          <w:b/>
          <w:color w:val="1E293B"/>
        </w:rPr>
        <w:t xml:space="preserve">Requirement Enforcement: </w:t>
      </w:r>
      <w:r>
        <w:rPr>
          <w:color w:val="475569"/>
        </w:rPr>
        <w:t>Validates that the payment transfer exactly matches the merchant's requested price, receiver address (AVM_ADDRESS), and network CAIP-2.</w:t>
      </w:r>
    </w:p>
    <w:p>
      <w:pPr>
        <w:pStyle w:val="ListBullet"/>
      </w:pPr>
      <w:r>
        <w:rPr>
          <w:b/>
          <w:color w:val="1E293B"/>
        </w:rPr>
        <w:t xml:space="preserve">Replay Attack Prevention: </w:t>
      </w:r>
      <w:r>
        <w:rPr>
          <w:color w:val="475569"/>
        </w:rPr>
        <w:t>Tracks processed transaction IDs in memory and on-chain to reject any duplicated or replayed transaction headers.</w:t>
      </w:r>
    </w:p>
    <w:p>
      <w:pPr>
        <w:pStyle w:val="ListBullet"/>
      </w:pPr>
      <w:r>
        <w:rPr>
          <w:b/>
          <w:color w:val="1E293B"/>
        </w:rPr>
        <w:t xml:space="preserve">Atomic Blockchain Broadcasting: </w:t>
      </w:r>
      <w:r>
        <w:rPr>
          <w:color w:val="475569"/>
        </w:rPr>
        <w:t>Submits the validated atomic transaction group directly to Algorand consensus nodes, monitoring round progression until final block confirmation.</w:t>
      </w:r>
    </w:p>
    <w:p>
      <w:pPr>
        <w:pStyle w:val="ListBullet"/>
      </w:pPr>
      <w:r>
        <w:rPr>
          <w:b/>
          <w:color w:val="1E293B"/>
        </w:rPr>
        <w:t xml:space="preserve">Bazaar Catalog Registration: </w:t>
      </w:r>
      <w:r>
        <w:rPr>
          <w:color w:val="475569"/>
        </w:rPr>
        <w:t>Probes the merchant's `resource.url` to scrape Open Graph metadata and register monetized endpoints in the global x402 Bazaar discovery network.</w:t>
      </w:r>
    </w:p>
    <w:p>
      <w:pPr>
        <w:pStyle w:val="Heading2"/>
      </w:pPr>
      <w:r>
        <w:rPr>
          <w:color w:val="2563EB"/>
        </w:rPr>
        <w:t>4.2 Exact Facilitator Request &amp; Response Payloads (`/settle`)</w:t>
      </w:r>
    </w:p>
    <w:p>
      <w:r>
        <w:t>When `verifyX402Payment()` executes in `services/payment/index.ts`, it dispatches a structured JSON POST to `https://facilitator.goplausible.xyz/settle`: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94A3B8"/>
                <w:sz w:val="17"/>
              </w:rPr>
              <w:t>// FACILITATOR REQUEST PAYLOAD: POST /settle</w:t>
              <w:br/>
            </w:r>
            <w:r>
              <w:rPr>
                <w:rFonts w:ascii="Consolas" w:hAnsi="Consolas"/>
                <w:color w:val="E2E8F0"/>
                <w:sz w:val="18"/>
              </w:rPr>
              <w:t>// Outgoing POST https://facilitator.goplausible.xyz/settle</w:t>
              <w:br/>
              <w:t>{</w:t>
              <w:br/>
              <w:t xml:space="preserve">  "x402Version": 2,</w:t>
              <w:br/>
              <w:t xml:space="preserve">  "paymentPayload": {</w:t>
              <w:br/>
              <w:t xml:space="preserve">    "x402Version": 2,</w:t>
              <w:br/>
              <w:t xml:space="preserve">    "payload": {</w:t>
              <w:br/>
              <w:t xml:space="preserve">      "paymentGroup": [</w:t>
              <w:br/>
              <w:t xml:space="preserve">        "AYEB123... (signed base64 setup transaction)",</w:t>
              <w:br/>
              <w:t xml:space="preserve">        "AYEB456... (signed base64 USDC asset transfer transaction)"</w:t>
              <w:br/>
              <w:t xml:space="preserve">      ],</w:t>
              <w:br/>
              <w:t xml:space="preserve">      "paymentIndex": 1</w:t>
              <w:br/>
              <w:t xml:space="preserve">    },</w:t>
              <w:br/>
              <w:t xml:space="preserve">    "accepted": {</w:t>
              <w:br/>
              <w:t xml:space="preserve">      "scheme": "exact",</w:t>
              <w:br/>
              <w:t xml:space="preserve">      "network": "algorand:wGHE2Pwdvd7S12BL5FaOP20EGYesN73ktiC1qzkkit8=",</w:t>
              <w:br/>
              <w:t xml:space="preserve">      "payTo": "2RIRIX5XK6GWK7LOXDAYIDTN4IYDVNRDJFXR4TJCLYIM72A3EF2UQPROQY"</w:t>
              <w:br/>
              <w:t xml:space="preserve">    }</w:t>
              <w:br/>
              <w:t xml:space="preserve">  },</w:t>
              <w:br/>
              <w:t xml:space="preserve">  "paymentRequirements": {</w:t>
              <w:br/>
              <w:t xml:space="preserve">    "scheme": "exact",</w:t>
              <w:br/>
              <w:t xml:space="preserve">    "network": "algorand:wGHE2Pwdvd7S12BL5FaOP20EGYesN73ktiC1qzkkit8=",</w:t>
              <w:br/>
              <w:t xml:space="preserve">    "payTo": "2RIRIX5XK6GWK7LOXDAYIDTN4IYDVNRDJFXR4TJCLYIM72A3EF2UQPROQY",</w:t>
              <w:br/>
              <w:t xml:space="preserve">    "amount": "50000",</w:t>
              <w:br/>
              <w:t xml:space="preserve">    "asset": "31566704",</w:t>
              <w:br/>
              <w:t xml:space="preserve">    "extra": {</w:t>
              <w:br/>
              <w:t xml:space="preserve">      "name": "USDC",</w:t>
              <w:br/>
              <w:t xml:space="preserve">      "version": "1",</w:t>
              <w:br/>
              <w:t xml:space="preserve">      "resource": "https://sikho-ai.onrender.com/api/v1/resume/quality",</w:t>
              <w:br/>
              <w:t xml:space="preserve">      "tag": "x402-global-challenge",</w:t>
              <w:br/>
              <w:t xml:space="preserve">      "discovery": true,</w:t>
              <w:br/>
              <w:t xml:space="preserve">      "category": "education"</w:t>
              <w:br/>
              <w:t xml:space="preserve">    },</w:t>
              <w:br/>
              <w:t xml:space="preserve">    "maxTimeoutSeconds": 300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r>
        <w:t>Upon successful on-chain settlement, the facilitator responds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94A3B8"/>
                <w:sz w:val="17"/>
              </w:rPr>
              <w:t>// FACILITATOR SUCCESS RESPONSE</w:t>
              <w:br/>
            </w:r>
            <w:r>
              <w:rPr>
                <w:rFonts w:ascii="Consolas" w:hAnsi="Consolas"/>
                <w:color w:val="E2E8F0"/>
                <w:sz w:val="18"/>
              </w:rPr>
              <w:t>// Response from Facilitator (HTTP 200 OK)</w:t>
              <w:br/>
              <w:t>{</w:t>
              <w:br/>
              <w:t xml:space="preserve">  "success": true,</w:t>
              <w:br/>
              <w:t xml:space="preserve">  "transaction": "ZSKIJ5VWW4P6J4V7WJ22YF6OGHNY662WTYP3M23JNY6KXX6OXYPA",</w:t>
              <w:br/>
              <w:t xml:space="preserve">  "payer": "RK6K3SMBBNVUH3CZIQNHB4EEDOQSLZHYBLJPSDSBYIQN75RU5VUVWQXGVA",</w:t>
              <w:br/>
              <w:t xml:space="preserve">  "network": "algorand:wGHE2Pwdvd7S12BL5FaOP20EGYesN73ktiC1qzkkit8=",</w:t>
              <w:br/>
              <w:t xml:space="preserve">  "settledAt": "2026-09-28T17:25:32.410Z"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63EB"/>
        </w:rPr>
        <w:t>4.3 HTTP Header Exchange &amp; Proof-of-Settlement Receipt</w:t>
      </w:r>
    </w:p>
    <w:p>
      <w:r>
        <w:t>Once verified, the backend injects standardized receipt headers into the HTTP response before sending it back to the client. This gives the client immediate cryptographic proof of payment.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HTTP Header Name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Header Value / Format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Consumer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PAYMENT-REQUIRED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Base64(PaymentRequiredObject)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Emitted on HTTP 402; informs client x402 SDK of required payment parameters.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PAYMENT-SIGNATURE / X-PAYMENT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Base64(PaymentPayloadObject)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Attached by client on retry; contains signed transaction group.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X-PAYMENT-RESPONSE / PAYMENT-RESPONSE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Base64({ success: true, transaction: txHash, payer, network })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Returned with HTTP 200; serves as digital receipt and settlement confirmation.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Access-Control-Expose-Headers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X-PAYMENT-RESPONSE, PAYMENT-RESPONSE, PAYMENT-REQUIRED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Crucial CORS directive allowing browser JavaScript to read payment response headers.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E3A8A"/>
        </w:rPr>
        <w:t>5. Multi-Party Split Payments &amp; AI Cluster Integration</w:t>
      </w:r>
    </w:p>
    <w:p>
      <w:r>
        <w:t>Sikho-AI extends simple peer-to-peer payments into multi-party orchestration architectures, such as automated third-party API monetization and high-throughput AI inference cluster routing.</w:t>
      </w:r>
    </w:p>
    <w:p>
      <w:pPr>
        <w:pStyle w:val="Heading2"/>
      </w:pPr>
      <w:r>
        <w:rPr>
          <w:color w:val="2563EB"/>
        </w:rPr>
        <w:t>5.1 Multi-Party Split Settlement (e.g. GitHub Review with Prism)</w:t>
      </w:r>
    </w:p>
    <w:p>
      <w:r>
        <w:t>In the GitHub repository code review pipeline (`serviceOrchestrator.service.ts`), a single user transaction ($0.25 USDC) is mathematically decomposed into platform revenue and downstream service provider payment: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Revenue Tier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Amount (USDC)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Recipient Entity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Execution Mechanism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User Total Charge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$0.25 USDC (250,000 µUSDC)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Sikho Treasury Address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Signed by user wallet via x402 challenge.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Platform Fee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$0.05 USDC (50,000 µUSDC)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Sikho Platform Account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Recorded in `PlatformFeeTransaction` ledger with per-file idempotency.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Downstream Provider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$0.20 USDC (200,000 µUSDC)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Prism AI Review Service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Orchestrated via service proxy with separate x402 provider challenge.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Total Economic Split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$0.25 = $0.05 + $0.20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Fully Settled On-Chain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Guarantees zero platform deficit and auditable margin.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563EB"/>
        </w:rPr>
        <w:t>5.2 Fault-Tolerant AI Engine: 8-Key Rotating Groq Cluster</w:t>
      </w:r>
    </w:p>
    <w:p>
      <w:r>
        <w:t>Following payment validation, the backend routes requests to Groq's LPU (Language Processing Unit) cluster. To prevent rate-limit throttling and achieve 99.9% uptime, the engine rotates across 8 dedicated API keys (`GROQ_API_KEY_20` through `GROQ_API_KEY_27`), powering models like `openai/gpt-oss-120b` and `LLaMA-3.3-70B` at speeds exceeding 100+ tokens per second.</w:t>
      </w:r>
    </w:p>
    <w:p>
      <w:pPr>
        <w:pStyle w:val="Heading1"/>
      </w:pPr>
      <w:r>
        <w:rPr>
          <w:rFonts w:ascii="Arial" w:hAnsi="Arial"/>
          <w:color w:val="1E3A8A"/>
        </w:rPr>
        <w:t>6. Security, Replay Defense &amp; Idempotency Engineering</w:t>
      </w:r>
    </w:p>
    <w:p>
      <w:pPr>
        <w:pStyle w:val="ListBullet"/>
      </w:pPr>
      <w:r>
        <w:rPr>
          <w:b/>
          <w:color w:val="1E293B"/>
        </w:rPr>
        <w:t xml:space="preserve">Replay Attack Immunity: </w:t>
      </w:r>
      <w:r>
        <w:rPr>
          <w:color w:val="475569"/>
        </w:rPr>
        <w:t>Transactions are uniquely identified on the Algorand blockchain by their 52-character base32 transaction ID. The facilitator and MongoDB `ServiceTransaction` index prevent any previously used transaction ID from unlocking a second resource request.</w:t>
      </w:r>
    </w:p>
    <w:p>
      <w:pPr>
        <w:pStyle w:val="ListBullet"/>
      </w:pPr>
      <w:r>
        <w:rPr>
          <w:b/>
          <w:color w:val="1E293B"/>
        </w:rPr>
        <w:t xml:space="preserve">Strict Amount &amp; Asset Verification: </w:t>
      </w:r>
      <w:r>
        <w:rPr>
          <w:color w:val="475569"/>
        </w:rPr>
        <w:t>The backend rejects any payment where the asset ID does not match USDC ASA `31566704` (or `10458941`) or where the micro-USDC transfer is less than the required amount, eliminating fractional payment spoofing.</w:t>
      </w:r>
    </w:p>
    <w:p>
      <w:pPr>
        <w:pStyle w:val="ListBullet"/>
      </w:pPr>
      <w:r>
        <w:rPr>
          <w:b/>
          <w:color w:val="1E293B"/>
        </w:rPr>
        <w:t xml:space="preserve">Receiver Address Whitelisting: </w:t>
      </w:r>
      <w:r>
        <w:rPr>
          <w:color w:val="475569"/>
        </w:rPr>
        <w:t>All payments must strictly transfer assets to the authoritative treasury address configured in `env.AVM_ADDRESS`. Any redirect to an unauthorized address is flagged and rejected by the facilitator.</w:t>
      </w:r>
    </w:p>
    <w:p>
      <w:pPr>
        <w:pStyle w:val="ListBullet"/>
      </w:pPr>
      <w:r>
        <w:rPr>
          <w:b/>
          <w:color w:val="1E293B"/>
        </w:rPr>
        <w:t xml:space="preserve">Idempotent Platform Fee Processing: </w:t>
      </w:r>
      <w:r>
        <w:rPr>
          <w:color w:val="475569"/>
        </w:rPr>
        <w:t>The platform fee engine (`processPlatformFee`) enforces unique constraint indexing on `reviewId + fileId`. If a user re-submits a review for an already-settled file, the system detects the existing fee record and avoids duplicate charges.</w:t>
      </w:r>
    </w:p>
    <w:p>
      <w:pPr>
        <w:pStyle w:val="ListBullet"/>
      </w:pPr>
      <w:r>
        <w:rPr>
          <w:b/>
          <w:color w:val="1E293B"/>
        </w:rPr>
        <w:t xml:space="preserve">Graceful Degradation &amp; Timeout Controls: </w:t>
      </w:r>
      <w:r>
        <w:rPr>
          <w:color w:val="475569"/>
        </w:rPr>
        <w:t>All facilitator network calls enforce a 10-second connection timeout with fallback checks against Algorand Algod nodes. Expired transactions (&gt;300 seconds) are automatically rejected.</w:t>
      </w:r>
    </w:p>
    <w:p>
      <w:pPr>
        <w:spacing w:after="160"/>
      </w:pPr>
    </w:p>
    <w:p>
      <w:pPr>
        <w:pStyle w:val="Heading1"/>
      </w:pPr>
      <w:r>
        <w:rPr>
          <w:rFonts w:ascii="Arial" w:hAnsi="Arial"/>
          <w:color w:val="1E3A8A"/>
        </w:rPr>
        <w:t>7. Backend Lifecycle Summary &amp;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Core Architecture Dimension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Implementation Specification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Protocol Standard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x402 HTTP Payment Required Standard (V2 AVM Specification)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Blockchain Network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Algorand MainNet (CAIP-2: algorand:wGHE2Pwdvd7S12BL5FaOP20EGYesN73ktiC1qzkkit8=)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Settlement Currency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USDC (Algorand Standard Asset ID: 31566704 / TestNet: 10458941)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Block Finality Time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3.3 Seconds (Instant settlement, zero block re-org risk)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Facilitator Endpoint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https://facilitator.goplausible.xyz (POST /settle, POST /validate)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Middleware Handler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enforceWorkspacePayment() in x402-demo-server/middlewares/x402.middleware.ts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Primary DB Collections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X402Transactions, ServiceTransactions, PlatformFeeTransactions, Payments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On-Chain Sync Daemon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syncOnchainTransactions() polling Algonode Indexer every 15 seconds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Downstream AI Engine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Groq Cloud (openai/gpt-oss-120b) with 8-Key Dynamic Rotation Pool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