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34D4" w14:textId="2CBA4F59" w:rsidR="00074DD4" w:rsidRPr="001B484A" w:rsidRDefault="00074DD4" w:rsidP="00074DD4">
      <w:pPr>
        <w:jc w:val="center"/>
        <w:rPr>
          <w:rFonts w:ascii="Arial" w:hAnsi="Arial" w:cs="Arial"/>
          <w:b/>
          <w:bCs/>
          <w:lang w:val="en-GB"/>
        </w:rPr>
      </w:pPr>
      <w:r w:rsidRPr="001B484A">
        <w:rPr>
          <w:rFonts w:ascii="Arial" w:hAnsi="Arial" w:cs="Arial"/>
          <w:b/>
          <w:bCs/>
          <w:lang w:val="en-GB"/>
        </w:rPr>
        <w:t>Recommendations for Future Marketing Communications Policy</w:t>
      </w:r>
    </w:p>
    <w:p w14:paraId="449F8720" w14:textId="5F12C0F9" w:rsidR="00074DD4" w:rsidRPr="001B484A" w:rsidRDefault="00074DD4" w:rsidP="00074DD4">
      <w:pPr>
        <w:rPr>
          <w:rFonts w:ascii="Arial" w:hAnsi="Arial" w:cs="Arial"/>
          <w:lang w:val="en-GB"/>
        </w:rPr>
      </w:pPr>
      <w:r w:rsidRPr="001B484A">
        <w:rPr>
          <w:rFonts w:ascii="Arial" w:hAnsi="Arial" w:cs="Arial"/>
          <w:lang w:val="en-GB"/>
        </w:rPr>
        <w:t xml:space="preserve">The analysis confirms a strong association between exposure to alcohol sports sponsorship and increases in hazardous drinking among athletes and higher drinking intentions in youth. To mitigate this documented harm, the </w:t>
      </w:r>
      <w:proofErr w:type="spellStart"/>
      <w:r w:rsidR="005352D5" w:rsidRPr="001B484A">
        <w:rPr>
          <w:rFonts w:ascii="Arial" w:hAnsi="Arial" w:cs="Arial"/>
          <w:lang w:val="en-GB"/>
        </w:rPr>
        <w:t>Sports</w:t>
      </w:r>
      <w:proofErr w:type="spellEnd"/>
      <w:r w:rsidR="005352D5" w:rsidRPr="001B484A">
        <w:rPr>
          <w:rFonts w:ascii="Arial" w:hAnsi="Arial" w:cs="Arial"/>
          <w:lang w:val="en-GB"/>
        </w:rPr>
        <w:t xml:space="preserve"> Governing Body</w:t>
      </w:r>
      <w:r w:rsidR="005352D5" w:rsidRPr="001B484A">
        <w:rPr>
          <w:rFonts w:ascii="Arial" w:hAnsi="Arial" w:cs="Arial"/>
          <w:lang w:val="en-GB"/>
        </w:rPr>
        <w:t xml:space="preserve"> </w:t>
      </w:r>
      <w:r w:rsidRPr="001B484A">
        <w:rPr>
          <w:rFonts w:ascii="Arial" w:hAnsi="Arial" w:cs="Arial"/>
          <w:lang w:val="en-GB"/>
        </w:rPr>
        <w:t>must shift its policy from permissive regulation to comprehensive restriction, treating all forms of alcohol brand promotion as a public health issue.</w:t>
      </w:r>
    </w:p>
    <w:p w14:paraId="370FB5DC" w14:textId="1143BF26" w:rsidR="00074DD4" w:rsidRPr="001B484A" w:rsidRDefault="00074DD4" w:rsidP="00074DD4">
      <w:pPr>
        <w:rPr>
          <w:rFonts w:ascii="Arial" w:hAnsi="Arial" w:cs="Arial"/>
          <w:lang w:val="en-GB"/>
        </w:rPr>
      </w:pPr>
      <w:r w:rsidRPr="00AF3CD5">
        <w:rPr>
          <w:rFonts w:ascii="Arial" w:hAnsi="Arial" w:cs="Arial"/>
          <w:b/>
          <w:bCs/>
          <w:lang w:val="en-GB"/>
        </w:rPr>
        <w:t>1. Close the Zero-Alcohol and Surrogate Marketing Loophole</w:t>
      </w:r>
      <w:r w:rsidR="001B484A" w:rsidRPr="00AF3CD5">
        <w:rPr>
          <w:rFonts w:ascii="Arial" w:hAnsi="Arial" w:cs="Arial"/>
          <w:b/>
          <w:bCs/>
          <w:lang w:val="en-GB"/>
        </w:rPr>
        <w:t>:</w:t>
      </w:r>
      <w:r w:rsidRPr="001B484A">
        <w:rPr>
          <w:rFonts w:ascii="Arial" w:hAnsi="Arial" w:cs="Arial"/>
          <w:lang w:val="en-GB"/>
        </w:rPr>
        <w:t xml:space="preserve"> </w:t>
      </w:r>
      <w:r w:rsidR="001B484A" w:rsidRPr="001B484A">
        <w:rPr>
          <w:rFonts w:ascii="Arial" w:hAnsi="Arial" w:cs="Arial"/>
          <w:lang w:val="en-GB"/>
        </w:rPr>
        <w:t>T</w:t>
      </w:r>
      <w:r w:rsidRPr="001B484A">
        <w:rPr>
          <w:rFonts w:ascii="Arial" w:hAnsi="Arial" w:cs="Arial"/>
          <w:lang w:val="en-GB"/>
        </w:rPr>
        <w:t xml:space="preserve">he </w:t>
      </w:r>
      <w:r w:rsidR="005352D5" w:rsidRPr="001B484A">
        <w:rPr>
          <w:rFonts w:ascii="Arial" w:hAnsi="Arial" w:cs="Arial"/>
          <w:lang w:val="en-GB"/>
        </w:rPr>
        <w:t>Sports Governing Body</w:t>
      </w:r>
      <w:r w:rsidR="005352D5" w:rsidRPr="001B484A">
        <w:rPr>
          <w:rFonts w:ascii="Arial" w:hAnsi="Arial" w:cs="Arial"/>
          <w:lang w:val="en-GB"/>
        </w:rPr>
        <w:t xml:space="preserve"> </w:t>
      </w:r>
      <w:r w:rsidRPr="001B484A">
        <w:rPr>
          <w:rFonts w:ascii="Arial" w:hAnsi="Arial" w:cs="Arial"/>
          <w:lang w:val="en-GB"/>
        </w:rPr>
        <w:t>must enforce strict policy defining alcohol branding not by alcoholic content but by visual iconography. Research shows that brands circumvent bans through zero-alcohol and alibi marketing where 77-84% of post-ban imagery retains the same branding elements as regular-strength products. All branding must be prohibited if its visual identity or logos are shared by any full-strength alcoholic product in the same brand portfolio.</w:t>
      </w:r>
    </w:p>
    <w:p w14:paraId="70C08D97" w14:textId="4176ED8D" w:rsidR="00074DD4" w:rsidRPr="001B484A" w:rsidRDefault="00074DD4" w:rsidP="00074DD4">
      <w:pPr>
        <w:rPr>
          <w:rFonts w:ascii="Arial" w:hAnsi="Arial" w:cs="Arial"/>
          <w:lang w:val="en-GB"/>
        </w:rPr>
      </w:pPr>
      <w:r w:rsidRPr="00AF3CD5">
        <w:rPr>
          <w:rFonts w:ascii="Arial" w:hAnsi="Arial" w:cs="Arial"/>
          <w:b/>
          <w:bCs/>
          <w:lang w:val="en-GB"/>
        </w:rPr>
        <w:t>2. Enforce Time-Sensitive and Space-Based Restrictions</w:t>
      </w:r>
      <w:r w:rsidR="001B484A" w:rsidRPr="00AF3CD5">
        <w:rPr>
          <w:rFonts w:ascii="Arial" w:hAnsi="Arial" w:cs="Arial"/>
          <w:b/>
          <w:bCs/>
          <w:lang w:val="en-GB"/>
        </w:rPr>
        <w:t>:</w:t>
      </w:r>
      <w:r w:rsidRPr="00AF3CD5">
        <w:rPr>
          <w:rFonts w:ascii="Arial" w:hAnsi="Arial" w:cs="Arial"/>
          <w:b/>
          <w:bCs/>
          <w:lang w:val="en-GB"/>
        </w:rPr>
        <w:t xml:space="preserve"> </w:t>
      </w:r>
      <w:r w:rsidRPr="001B484A">
        <w:rPr>
          <w:rFonts w:ascii="Arial" w:hAnsi="Arial" w:cs="Arial"/>
          <w:lang w:val="en-GB"/>
        </w:rPr>
        <w:t xml:space="preserve">Given the scale of exposure, where single events reach hundreds of millions of children, the </w:t>
      </w:r>
      <w:proofErr w:type="spellStart"/>
      <w:r w:rsidR="005352D5" w:rsidRPr="001B484A">
        <w:rPr>
          <w:rFonts w:ascii="Arial" w:hAnsi="Arial" w:cs="Arial"/>
          <w:lang w:val="en-GB"/>
        </w:rPr>
        <w:t>Sports</w:t>
      </w:r>
      <w:proofErr w:type="spellEnd"/>
      <w:r w:rsidR="005352D5" w:rsidRPr="001B484A">
        <w:rPr>
          <w:rFonts w:ascii="Arial" w:hAnsi="Arial" w:cs="Arial"/>
          <w:lang w:val="en-GB"/>
        </w:rPr>
        <w:t xml:space="preserve"> Governing Body</w:t>
      </w:r>
      <w:r w:rsidR="005352D5" w:rsidRPr="001B484A">
        <w:rPr>
          <w:rFonts w:ascii="Arial" w:hAnsi="Arial" w:cs="Arial"/>
          <w:lang w:val="en-GB"/>
        </w:rPr>
        <w:t xml:space="preserve"> </w:t>
      </w:r>
      <w:r w:rsidRPr="001B484A">
        <w:rPr>
          <w:rFonts w:ascii="Arial" w:hAnsi="Arial" w:cs="Arial"/>
          <w:lang w:val="en-GB"/>
        </w:rPr>
        <w:t>must mandate clean feeds for international broadcasts. All alcohol branding must be prohibited during events where peak viewing occurs outside of adult-only broadcast windows (e.g., before 9:00 PM). This must extend to all digital channels, including club social media and sponsored player content, which act as uncontrolled vectors for youth exposure.</w:t>
      </w:r>
    </w:p>
    <w:p w14:paraId="2604BD70" w14:textId="1BC3CC07" w:rsidR="00074DD4" w:rsidRPr="001B484A" w:rsidRDefault="00074DD4" w:rsidP="00074DD4">
      <w:pPr>
        <w:rPr>
          <w:rFonts w:ascii="Arial" w:hAnsi="Arial" w:cs="Arial"/>
          <w:lang w:val="en-GB"/>
        </w:rPr>
      </w:pPr>
      <w:r w:rsidRPr="00AF3CD5">
        <w:rPr>
          <w:rFonts w:ascii="Arial" w:hAnsi="Arial" w:cs="Arial"/>
          <w:b/>
          <w:bCs/>
          <w:lang w:val="en-GB"/>
        </w:rPr>
        <w:t>3. Mandate Brand Dissociation to Prevent High Recall</w:t>
      </w:r>
      <w:r w:rsidR="001B484A" w:rsidRPr="001B484A">
        <w:rPr>
          <w:rFonts w:ascii="Arial" w:hAnsi="Arial" w:cs="Arial"/>
          <w:lang w:val="en-GB"/>
        </w:rPr>
        <w:t>:</w:t>
      </w:r>
      <w:r w:rsidRPr="001B484A">
        <w:rPr>
          <w:rFonts w:ascii="Arial" w:hAnsi="Arial" w:cs="Arial"/>
          <w:lang w:val="en-GB"/>
        </w:rPr>
        <w:t xml:space="preserve"> The effectiveness of alcohol sponsorship is rooted in the fact that its incongruity in a sporting context generates the highest brand recall. The </w:t>
      </w:r>
      <w:r w:rsidR="005352D5" w:rsidRPr="001B484A">
        <w:rPr>
          <w:rFonts w:ascii="Arial" w:hAnsi="Arial" w:cs="Arial"/>
          <w:lang w:val="en-GB"/>
        </w:rPr>
        <w:t>Sports Governing Body</w:t>
      </w:r>
      <w:r w:rsidR="005352D5" w:rsidRPr="001B484A">
        <w:rPr>
          <w:rFonts w:ascii="Arial" w:hAnsi="Arial" w:cs="Arial"/>
          <w:lang w:val="en-GB"/>
        </w:rPr>
        <w:t xml:space="preserve"> </w:t>
      </w:r>
      <w:r w:rsidRPr="001B484A">
        <w:rPr>
          <w:rFonts w:ascii="Arial" w:hAnsi="Arial" w:cs="Arial"/>
          <w:lang w:val="en-GB"/>
        </w:rPr>
        <w:t>must enforce rules requiring sponsoring brands to visually dissociate. Any remaining non-alcoholic surrogate placement must be placed in low-prominence areas and stripped of any alibi marketing that relies on brand loyalty to transfer the positive image of sport to the product.</w:t>
      </w:r>
    </w:p>
    <w:p w14:paraId="1EE4349A" w14:textId="53A92A2C" w:rsidR="00074DD4" w:rsidRPr="001B484A" w:rsidRDefault="00074DD4" w:rsidP="00074DD4">
      <w:pPr>
        <w:rPr>
          <w:rFonts w:ascii="Arial" w:hAnsi="Arial" w:cs="Arial"/>
          <w:lang w:val="en-GB"/>
        </w:rPr>
      </w:pPr>
      <w:r w:rsidRPr="00AF3CD5">
        <w:rPr>
          <w:rFonts w:ascii="Arial" w:hAnsi="Arial" w:cs="Arial"/>
          <w:b/>
          <w:bCs/>
          <w:lang w:val="en-GB"/>
        </w:rPr>
        <w:t>4. Uphold Internal Health Standards</w:t>
      </w:r>
      <w:r w:rsidR="001B484A" w:rsidRPr="00AF3CD5">
        <w:rPr>
          <w:rFonts w:ascii="Arial" w:hAnsi="Arial" w:cs="Arial"/>
          <w:b/>
          <w:bCs/>
          <w:lang w:val="en-GB"/>
        </w:rPr>
        <w:t>:</w:t>
      </w:r>
      <w:r w:rsidRPr="00AF3CD5">
        <w:rPr>
          <w:rFonts w:ascii="Arial" w:hAnsi="Arial" w:cs="Arial"/>
          <w:b/>
          <w:bCs/>
          <w:lang w:val="en-GB"/>
        </w:rPr>
        <w:t xml:space="preserve"> </w:t>
      </w:r>
      <w:r w:rsidR="001B484A" w:rsidRPr="001B484A">
        <w:rPr>
          <w:rFonts w:ascii="Arial" w:hAnsi="Arial" w:cs="Arial"/>
          <w:lang w:val="en-GB"/>
        </w:rPr>
        <w:t>T</w:t>
      </w:r>
      <w:r w:rsidRPr="001B484A">
        <w:rPr>
          <w:rFonts w:ascii="Arial" w:hAnsi="Arial" w:cs="Arial"/>
          <w:lang w:val="en-GB"/>
        </w:rPr>
        <w:t xml:space="preserve">he </w:t>
      </w:r>
      <w:r w:rsidR="005352D5" w:rsidRPr="001B484A">
        <w:rPr>
          <w:rFonts w:ascii="Arial" w:hAnsi="Arial" w:cs="Arial"/>
          <w:lang w:val="en-GB"/>
        </w:rPr>
        <w:t>Sports Governing Body</w:t>
      </w:r>
      <w:r w:rsidR="005352D5" w:rsidRPr="001B484A">
        <w:rPr>
          <w:rFonts w:ascii="Arial" w:hAnsi="Arial" w:cs="Arial"/>
          <w:lang w:val="en-GB"/>
        </w:rPr>
        <w:t xml:space="preserve"> </w:t>
      </w:r>
      <w:r w:rsidRPr="001B484A">
        <w:rPr>
          <w:rFonts w:ascii="Arial" w:hAnsi="Arial" w:cs="Arial"/>
          <w:lang w:val="en-GB"/>
        </w:rPr>
        <w:t>must implement mandatory wellness programs and prohibit the contractual provision of free or discounted alcohol to athletes and staff. The evidence linking direct sponsorship to significantly increased hazardous drinking among sportspeople necessitates an internal health-first approach that protects competitors from undue pressure and high-risk environments.</w:t>
      </w:r>
    </w:p>
    <w:p w14:paraId="08EE3F73" w14:textId="77777777" w:rsidR="000859FA" w:rsidRPr="001B484A" w:rsidRDefault="000859FA">
      <w:pPr>
        <w:rPr>
          <w:rFonts w:ascii="Arial" w:hAnsi="Arial" w:cs="Arial"/>
        </w:rPr>
      </w:pPr>
    </w:p>
    <w:sectPr w:rsidR="000859FA" w:rsidRPr="001B4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13"/>
    <w:rsid w:val="00044D13"/>
    <w:rsid w:val="00074DD4"/>
    <w:rsid w:val="000859FA"/>
    <w:rsid w:val="00187834"/>
    <w:rsid w:val="001B484A"/>
    <w:rsid w:val="005352D5"/>
    <w:rsid w:val="00747385"/>
    <w:rsid w:val="007F457C"/>
    <w:rsid w:val="00AC2A7B"/>
    <w:rsid w:val="00AF3CD5"/>
    <w:rsid w:val="00D64E31"/>
    <w:rsid w:val="00EB14B2"/>
    <w:rsid w:val="00F67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694D"/>
  <w15:chartTrackingRefBased/>
  <w15:docId w15:val="{3ABBE818-5BEA-4C31-8777-3B437CDB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D13"/>
    <w:rPr>
      <w:rFonts w:eastAsiaTheme="majorEastAsia" w:cstheme="majorBidi"/>
      <w:color w:val="272727" w:themeColor="text1" w:themeTint="D8"/>
    </w:rPr>
  </w:style>
  <w:style w:type="paragraph" w:styleId="Title">
    <w:name w:val="Title"/>
    <w:basedOn w:val="Normal"/>
    <w:next w:val="Normal"/>
    <w:link w:val="TitleChar"/>
    <w:uiPriority w:val="10"/>
    <w:qFormat/>
    <w:rsid w:val="00044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D13"/>
    <w:pPr>
      <w:spacing w:before="160"/>
      <w:jc w:val="center"/>
    </w:pPr>
    <w:rPr>
      <w:i/>
      <w:iCs/>
      <w:color w:val="404040" w:themeColor="text1" w:themeTint="BF"/>
    </w:rPr>
  </w:style>
  <w:style w:type="character" w:customStyle="1" w:styleId="QuoteChar">
    <w:name w:val="Quote Char"/>
    <w:basedOn w:val="DefaultParagraphFont"/>
    <w:link w:val="Quote"/>
    <w:uiPriority w:val="29"/>
    <w:rsid w:val="00044D13"/>
    <w:rPr>
      <w:i/>
      <w:iCs/>
      <w:color w:val="404040" w:themeColor="text1" w:themeTint="BF"/>
    </w:rPr>
  </w:style>
  <w:style w:type="paragraph" w:styleId="ListParagraph">
    <w:name w:val="List Paragraph"/>
    <w:basedOn w:val="Normal"/>
    <w:uiPriority w:val="34"/>
    <w:qFormat/>
    <w:rsid w:val="00044D13"/>
    <w:pPr>
      <w:ind w:left="720"/>
      <w:contextualSpacing/>
    </w:pPr>
  </w:style>
  <w:style w:type="character" w:styleId="IntenseEmphasis">
    <w:name w:val="Intense Emphasis"/>
    <w:basedOn w:val="DefaultParagraphFont"/>
    <w:uiPriority w:val="21"/>
    <w:qFormat/>
    <w:rsid w:val="00044D13"/>
    <w:rPr>
      <w:i/>
      <w:iCs/>
      <w:color w:val="0F4761" w:themeColor="accent1" w:themeShade="BF"/>
    </w:rPr>
  </w:style>
  <w:style w:type="paragraph" w:styleId="IntenseQuote">
    <w:name w:val="Intense Quote"/>
    <w:basedOn w:val="Normal"/>
    <w:next w:val="Normal"/>
    <w:link w:val="IntenseQuoteChar"/>
    <w:uiPriority w:val="30"/>
    <w:qFormat/>
    <w:rsid w:val="00044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D13"/>
    <w:rPr>
      <w:i/>
      <w:iCs/>
      <w:color w:val="0F4761" w:themeColor="accent1" w:themeShade="BF"/>
    </w:rPr>
  </w:style>
  <w:style w:type="character" w:styleId="IntenseReference">
    <w:name w:val="Intense Reference"/>
    <w:basedOn w:val="DefaultParagraphFont"/>
    <w:uiPriority w:val="32"/>
    <w:qFormat/>
    <w:rsid w:val="00044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Bajaj</dc:creator>
  <cp:keywords/>
  <dc:description/>
  <cp:lastModifiedBy>Krishna Bajaj</cp:lastModifiedBy>
  <cp:revision>7</cp:revision>
  <dcterms:created xsi:type="dcterms:W3CDTF">2025-12-01T18:24:00Z</dcterms:created>
  <dcterms:modified xsi:type="dcterms:W3CDTF">2025-12-03T15:33:00Z</dcterms:modified>
</cp:coreProperties>
</file>