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z w:val="56"/>
        </w:rPr>
        <w:br/>
        <w:br/>
        <w:br/>
        <w:t xml:space="preserve"> Functional Specifications</w:t>
        <w:br/>
        <w:t xml:space="preserve"> Perform IPC</w:t>
        <w:br/>
      </w:r>
    </w:p>
    <w:p>
      <w:r>
        <w:br/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4320"/>
          </w:tcPr>
          <w:p>
            <w:pPr>
              <w:jc w:val="center"/>
            </w:pPr>
            <w:r>
              <w:t>Name / Project Role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Signature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Date</w:t>
              <w:br/>
              <w:t>(dd/mmm/yyyy)</w:t>
            </w:r>
          </w:p>
        </w:tc>
      </w:tr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Approver</w:t>
            </w:r>
          </w:p>
        </w:tc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r>
        <w:br w:type="page"/>
      </w:r>
    </w:p>
    <w:p>
      <w:pPr>
        <w:pStyle w:val="Heading1"/>
      </w:pPr>
      <w:r>
        <w:rPr>
          <w:rFonts w:ascii="Cambria (Body)" w:hAnsi="Cambria (Body)"/>
          <w:color w:val="000000"/>
          <w:sz w:val="36"/>
        </w:rPr>
        <w:t>Table of Contents</w:t>
      </w:r>
    </w:p>
    <w:p>
      <w:r>
        <w:br/>
        <w:br/>
      </w:r>
    </w:p>
    <w:p>
      <w:pPr>
        <w:pStyle w:val="TOCHeading"/>
        <w:jc w:val="left"/>
      </w:pPr>
      <w:r>
        <w:rPr>
          <w:rFonts w:ascii="Arial Narrow" w:hAnsi="Arial Narrow"/>
          <w:color w:val="64AAE6"/>
          <w:sz w:val="28"/>
        </w:rPr>
        <w:t>1. Introduction</w:t>
      </w:r>
    </w:p>
    <w:p>
      <w:pPr>
        <w:pStyle w:val="TOCHeading"/>
        <w:ind w:left="360"/>
        <w:jc w:val="left"/>
      </w:pPr>
      <w:r>
        <w:rPr>
          <w:rFonts w:ascii="Arial Narrow" w:hAnsi="Arial Narrow"/>
          <w:color w:val="64AAE6"/>
          <w:sz w:val="24"/>
        </w:rPr>
        <w:t>1.1 Glossary</w:t>
      </w:r>
    </w:p>
    <w:p>
      <w:pPr>
        <w:pStyle w:val="TOCHeading"/>
        <w:jc w:val="left"/>
      </w:pPr>
      <w:r>
        <w:rPr>
          <w:rFonts w:ascii="Arial Narrow" w:hAnsi="Arial Narrow"/>
          <w:color w:val="64AAE6"/>
          <w:sz w:val="28"/>
        </w:rPr>
        <w:t>2. Block identity card</w:t>
      </w:r>
    </w:p>
    <w:p>
      <w:pPr>
        <w:pStyle w:val="TOCHeading"/>
        <w:jc w:val="left"/>
      </w:pPr>
      <w:r>
        <w:rPr>
          <w:rFonts w:ascii="Arial Narrow" w:hAnsi="Arial Narrow"/>
          <w:color w:val="64AAE6"/>
          <w:sz w:val="28"/>
        </w:rPr>
        <w:t>3. Block Input Variables</w:t>
      </w:r>
    </w:p>
    <w:p>
      <w:pPr>
        <w:pStyle w:val="TOCHeading"/>
        <w:jc w:val="left"/>
      </w:pPr>
      <w:r>
        <w:rPr>
          <w:rFonts w:ascii="Arial Narrow" w:hAnsi="Arial Narrow"/>
          <w:color w:val="64AAE6"/>
          <w:sz w:val="28"/>
        </w:rPr>
        <w:t>4. Block Detailed specification</w:t>
      </w:r>
    </w:p>
    <w:p>
      <w:pPr>
        <w:pStyle w:val="TOCHeading"/>
        <w:ind w:left="360"/>
        <w:jc w:val="left"/>
      </w:pPr>
      <w:r>
        <w:rPr>
          <w:rFonts w:ascii="Arial Narrow" w:hAnsi="Arial Narrow"/>
          <w:color w:val="64AAE6"/>
          <w:sz w:val="24"/>
        </w:rPr>
        <w:t>4.1 Block workflow</w:t>
      </w:r>
    </w:p>
    <w:p>
      <w:pPr>
        <w:pStyle w:val="TOCHeading"/>
        <w:ind w:left="360"/>
        <w:jc w:val="left"/>
      </w:pPr>
      <w:r>
        <w:rPr>
          <w:rFonts w:ascii="Arial Narrow" w:hAnsi="Arial Narrow"/>
          <w:color w:val="64AAE6"/>
          <w:sz w:val="24"/>
        </w:rPr>
        <w:t>4.2 Block design description</w:t>
      </w:r>
    </w:p>
    <w:p>
      <w:r>
        <w:br w:type="page"/>
      </w:r>
    </w:p>
    <w:p>
      <w:pPr>
        <w:pStyle w:val="Heading1"/>
      </w:pPr>
      <w:r>
        <w:rPr>
          <w:rFonts w:ascii="Arial" w:hAnsi="Arial"/>
          <w:color w:val="000000"/>
          <w:sz w:val="36"/>
          <w:u w:val="single"/>
        </w:rPr>
        <w:t>1. INTRODUCTION</w:t>
      </w:r>
    </w:p>
    <w:p>
      <w:r>
        <w:t xml:space="preserve"> </w:t>
      </w:r>
    </w:p>
    <w:p>
      <w:r>
        <w:rPr>
          <w:rFonts w:ascii="Arial" w:hAnsi="Arial"/>
          <w:sz w:val="20"/>
        </w:rPr>
        <w:br/>
        <w:t xml:space="preserve">    </w:t>
        <w:br/>
        <w:t>The goal of this document is to describe the IS teams interpretation of the requirements, and describes the proposed functionality to be delivered.</w:t>
        <w:br/>
        <w:t xml:space="preserve">    </w:t>
        <w:br/>
        <w:t>The purpose of this block is following:</w:t>
        <w:br/>
        <w:t xml:space="preserve">    </w:t>
      </w:r>
    </w:p>
    <w:p>
      <w:pPr>
        <w:pStyle w:val="ListBullet"/>
        <w:ind w:left="576"/>
      </w:pPr>
      <w:r>
        <w:rPr>
          <w:rFonts w:ascii="Arial" w:hAnsi="Arial"/>
          <w:sz w:val="20"/>
        </w:rPr>
        <w:t>Identify equipment or workstation on which the IPC is performed    Record date and time of sampling through a checkbox    Record IPC testing conformity manually through a checkbox    Record operator commitment with an e-signature</w:t>
      </w:r>
    </w:p>
    <w:p>
      <w:r>
        <w:br/>
        <w:br/>
      </w:r>
    </w:p>
    <w:p>
      <w:pPr>
        <w:pStyle w:val="Heading3"/>
      </w:pPr>
      <w:r>
        <w:rPr>
          <w:rFonts w:ascii="Arial" w:hAnsi="Arial"/>
          <w:color w:val="000000"/>
          <w:sz w:val="24"/>
        </w:rPr>
        <w:t>1.1. Glossary</w:t>
      </w:r>
    </w:p>
    <w:p>
      <w:r>
        <w:t xml:space="preserve"> </w:t>
      </w:r>
    </w:p>
    <w:p>
      <w:r>
        <w:rPr>
          <w:rFonts w:ascii="Arial" w:hAnsi="Arial"/>
          <w:sz w:val="20"/>
        </w:rPr>
        <w:t>This section defines specific project/system term and acronym that could be used on this document.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b/>
                <w:color w:val="000000"/>
                <w:sz w:val="20"/>
              </w:rPr>
              <w:t>Term or Acronym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b/>
                <w:color w:val="000000"/>
                <w:sz w:val="20"/>
              </w:rPr>
              <w:t>Definition</w:t>
            </w:r>
          </w:p>
        </w:tc>
      </w:tr>
      <w:tr>
        <w:tc>
          <w:tcPr>
            <w:tcW w:type="dxa" w:w="4320"/>
          </w:tcPr>
          <w:p>
            <w:r>
              <w:rPr>
                <w:rFonts w:ascii="Arial" w:hAnsi="Arial"/>
                <w:color w:val="000000"/>
                <w:sz w:val="20"/>
              </w:rPr>
              <w:t>N/A</w:t>
            </w:r>
          </w:p>
        </w:tc>
        <w:tc>
          <w:tcPr>
            <w:tcW w:type="dxa" w:w="4320"/>
          </w:tcPr>
          <w:p>
            <w:r>
              <w:rPr>
                <w:rFonts w:ascii="Arial" w:hAnsi="Arial"/>
                <w:color w:val="000000"/>
                <w:sz w:val="20"/>
              </w:rPr>
              <w:t>N/A</w:t>
            </w:r>
          </w:p>
        </w:tc>
      </w:tr>
    </w:tbl>
    <w:p>
      <w:r>
        <w:br/>
        <w:br/>
        <w:br/>
        <w:br/>
        <w:br/>
      </w:r>
    </w:p>
    <w:p>
      <w:pPr>
        <w:pStyle w:val="Heading1"/>
      </w:pPr>
      <w:r>
        <w:rPr>
          <w:rFonts w:ascii="Arial" w:hAnsi="Arial"/>
          <w:color w:val="000000"/>
          <w:sz w:val="36"/>
          <w:u w:val="single"/>
        </w:rPr>
        <w:t>2. BLOCK IDENTITY CARD</w:t>
      </w:r>
    </w:p>
    <w:p>
      <w:r>
        <w:t xml:space="preserve">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color w:val="000000"/>
                <w:sz w:val="20"/>
              </w:rPr>
              <w:t>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color w:val="000000"/>
                <w:sz w:val="20"/>
              </w:rPr>
              <w:t>Version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color w:val="000000"/>
                <w:sz w:val="20"/>
              </w:rPr>
              <w:t>Description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color w:val="000000"/>
                <w:sz w:val="20"/>
              </w:rPr>
              <w:t>YXCR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color w:val="000000"/>
                <w:sz w:val="20"/>
              </w:rPr>
              <w:t>V1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color w:val="000000"/>
                <w:sz w:val="20"/>
              </w:rPr>
              <w:t>Perform IPC</w:t>
            </w:r>
          </w:p>
        </w:tc>
      </w:tr>
    </w:tbl>
    <w:p>
      <w:r>
        <w:br w:type="page"/>
      </w:r>
    </w:p>
    <w:p>
      <w:pPr>
        <w:pStyle w:val="Heading1"/>
      </w:pPr>
      <w:r>
        <w:rPr>
          <w:rFonts w:ascii="Arial" w:hAnsi="Arial"/>
          <w:color w:val="000000"/>
          <w:sz w:val="36"/>
          <w:u w:val="single"/>
        </w:rPr>
        <w:t>3. BLOCK INPUT VARIABLES</w:t>
      </w:r>
    </w:p>
    <w:p>
      <w:r>
        <w:t xml:space="preserve">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8640"/>
            <w:gridSpan w:val="3"/>
          </w:tcPr>
          <w:p>
            <w:pPr>
              <w:jc w:val="center"/>
            </w:pPr>
            <w:r>
              <w:rPr>
                <w:b/>
              </w:rPr>
              <w:t>Input Variable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Variable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2880"/>
          </w:tcPr>
          <w:p>
            <w:r>
              <w:t>Instruction ref (x3)</w:t>
            </w:r>
          </w:p>
        </w:tc>
        <w:tc>
          <w:tcPr>
            <w:tcW w:type="dxa" w:w="2880"/>
          </w:tcPr>
          <w:p>
            <w:r>
              <w:t>hyperlink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Equipment_name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Sampling X units (x2)</w:t>
            </w:r>
          </w:p>
        </w:tc>
        <w:tc>
          <w:tcPr>
            <w:tcW w:type="dxa" w:w="2880"/>
          </w:tcPr>
          <w:p>
            <w:r>
              <w:t>Num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Date - Testing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Time - Testing</w:t>
            </w:r>
          </w:p>
        </w:tc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e-Signature - testing</w:t>
            </w:r>
          </w:p>
        </w:tc>
        <w:tc>
          <w:tcPr>
            <w:tcW w:type="dxa" w:w="2880"/>
          </w:tcPr>
          <w:p>
            <w:r>
              <w:t>e-Sign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</w:tbl>
    <w:p>
      <w:r>
        <w:br w:type="page"/>
      </w:r>
    </w:p>
    <w:p>
      <w:pPr>
        <w:pStyle w:val="Heading1"/>
      </w:pPr>
      <w:r>
        <w:rPr>
          <w:rFonts w:ascii="Arial" w:hAnsi="Arial"/>
          <w:color w:val="000000"/>
          <w:sz w:val="28"/>
          <w:u w:val="single"/>
        </w:rPr>
        <w:t>4. BLOCK DETAILED SPECIFICATION</w:t>
      </w:r>
    </w:p>
    <w:p>
      <w:r>
        <w:t xml:space="preserve"> </w:t>
      </w:r>
    </w:p>
    <w:p>
      <w:r>
        <w:rPr>
          <w:rFonts w:ascii="Arial" w:hAnsi="Arial"/>
          <w:sz w:val="20"/>
        </w:rPr>
        <w:t>Following sections will describe, in details, the block usage and configuration.</w:t>
      </w:r>
    </w:p>
    <w:p>
      <w:pPr>
        <w:pStyle w:val="Heading3"/>
      </w:pPr>
      <w:r>
        <w:rPr>
          <w:rFonts w:ascii="Arial" w:hAnsi="Arial"/>
          <w:color w:val="000000"/>
          <w:sz w:val="24"/>
        </w:rPr>
        <w:t>4.1. Block Workflow</w:t>
      </w:r>
    </w:p>
    <w:p>
      <w:r>
        <w:rPr>
          <w:rFonts w:ascii="Arial" w:hAnsi="Arial"/>
          <w:sz w:val="20"/>
        </w:rPr>
        <w:t>Following workflow describes the contents of the block: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42976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form ip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29768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Arial" w:hAnsi="Arial"/>
          <w:i/>
          <w:sz w:val="20"/>
        </w:rPr>
        <w:br/>
        <w:t>Figure 1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b/>
                <w:color w:val="000000"/>
                <w:sz w:val="20"/>
              </w:rPr>
              <w:t>ID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b/>
                <w:color w:val="000000"/>
                <w:sz w:val="20"/>
              </w:rPr>
              <w:t>Workflow description</w:t>
            </w:r>
          </w:p>
        </w:tc>
      </w:tr>
      <w:tr>
        <w:tc>
          <w:tcPr>
            <w:tcW w:type="dxa" w:w="4320"/>
          </w:tcPr>
          <w:p>
            <w:r>
              <w:rPr>
                <w:rFonts w:ascii="Arial" w:hAnsi="Arial"/>
                <w:color w:val="000000"/>
                <w:sz w:val="20"/>
              </w:rPr>
              <w:t>CBF001</w:t>
            </w:r>
          </w:p>
        </w:tc>
        <w:tc>
          <w:tcPr>
            <w:tcW w:type="dxa" w:w="4320"/>
          </w:tcPr>
          <w:p>
            <w:r>
              <w:rPr>
                <w:rFonts w:ascii="Arial" w:hAnsi="Arial"/>
                <w:color w:val="000000"/>
                <w:sz w:val="20"/>
              </w:rPr>
              <w:t>BF CBF001 with 1 activity to open and read the SOP document.</w:t>
            </w:r>
          </w:p>
        </w:tc>
      </w:tr>
      <w:tr>
        <w:tc>
          <w:tcPr>
            <w:tcW w:type="dxa" w:w="4320"/>
          </w:tcPr>
          <w:p>
            <w:r>
              <w:rPr>
                <w:rFonts w:ascii="Arial" w:hAnsi="Arial"/>
                <w:color w:val="000000"/>
                <w:sz w:val="20"/>
              </w:rPr>
              <w:t>CBF002</w:t>
            </w:r>
          </w:p>
        </w:tc>
        <w:tc>
          <w:tcPr>
            <w:tcW w:type="dxa" w:w="4320"/>
          </w:tcPr>
          <w:p>
            <w:r>
              <w:rPr>
                <w:rFonts w:ascii="Arial" w:hAnsi="Arial"/>
                <w:color w:val="000000"/>
                <w:sz w:val="20"/>
              </w:rPr>
              <w:t>BF CBF002 has four distinct activities: Sampling, Sampling Date, Sampling Time, and Conformity, each associated with the certification of sampling or performing IPC on a specified number of units according to an instruction reference.</w:t>
            </w:r>
          </w:p>
        </w:tc>
      </w:tr>
    </w:tbl>
    <w:p>
      <w:r>
        <w:t xml:space="preserve"> </w:t>
      </w:r>
    </w:p>
    <w:p>
      <w:pPr>
        <w:pStyle w:val="Heading3"/>
      </w:pPr>
      <w:r>
        <w:rPr>
          <w:rFonts w:ascii="Arial" w:hAnsi="Arial"/>
          <w:color w:val="000000"/>
          <w:sz w:val="24"/>
        </w:rPr>
        <w:t>4.2. Block design description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b/>
                <w:color w:val="000000"/>
                <w:sz w:val="20"/>
              </w:rPr>
              <w:t>ID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b/>
                <w:color w:val="000000"/>
                <w:sz w:val="20"/>
              </w:rPr>
              <w:t>Detailed description</w:t>
            </w:r>
          </w:p>
        </w:tc>
      </w:tr>
      <w:tr>
        <w:tc>
          <w:tcPr>
            <w:tcW w:type="dxa" w:w="4320"/>
          </w:tcPr>
          <w:p>
            <w:r>
              <w:rPr>
                <w:rFonts w:ascii="Arial" w:hAnsi="Arial"/>
                <w:color w:val="000000"/>
                <w:sz w:val="20"/>
              </w:rPr>
              <w:t>CBF001</w:t>
            </w:r>
          </w:p>
        </w:tc>
        <w:tc>
          <w:tcPr>
            <w:tcW w:type="dxa" w:w="4320"/>
          </w:tcPr>
          <w:p>
            <w:r>
              <w:rPr>
                <w:rFonts w:ascii="Arial" w:hAnsi="Arial"/>
                <w:color w:val="000000"/>
                <w:sz w:val="20"/>
              </w:rPr>
              <w:t>1. Operator opens and reads the SOP document.</w:t>
              <w:br/>
              <w:t>"SOP0001", description is "SOP display", SOP type activity with formula path to SOP: {String variable SOP}</w:t>
              <w:br/>
              <w:t xml:space="preserve">        </w:t>
            </w:r>
          </w:p>
        </w:tc>
      </w:tr>
      <w:tr>
        <w:tc>
          <w:tcPr>
            <w:tcW w:type="dxa" w:w="4320"/>
          </w:tcPr>
          <w:p>
            <w:r>
              <w:rPr>
                <w:rFonts w:ascii="Arial" w:hAnsi="Arial"/>
                <w:color w:val="000000"/>
                <w:sz w:val="20"/>
              </w:rPr>
              <w:t>CBF002</w:t>
            </w:r>
          </w:p>
        </w:tc>
        <w:tc>
          <w:tcPr>
            <w:tcW w:type="dxa" w:w="4320"/>
          </w:tcPr>
          <w:p>
            <w:r>
              <w:rPr>
                <w:rFonts w:ascii="Arial" w:hAnsi="Arial"/>
                <w:color w:val="000000"/>
                <w:sz w:val="20"/>
              </w:rPr>
              <w:t>1. System displays the sampling status.</w:t>
              <w:br/>
              <w:t>"FRM0001" description is "Sampling". Formula type activity with formula: [Check "variable" Sampl]</w:t>
              <w:br/>
              <w:br/>
              <w:t>2. System displays the date of sampling.</w:t>
              <w:br/>
              <w:t>"FRM0002" description is "Sampling Date". Formula type activity with formula: [Date "variable" SampD]</w:t>
              <w:br/>
              <w:br/>
              <w:t>3. System displays the time of sampling.</w:t>
              <w:br/>
              <w:t>"FRM0003" description is "Sampling Time". Formula type activity with formula: [Time "variable" SampT]</w:t>
              <w:br/>
              <w:br/>
              <w:t>4. System displays the conformity status.</w:t>
              <w:br/>
              <w:t>"FRM0004" description is "Conformity". Formula type activity with formula: [Conf "variable" Confo]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