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ns0:document xmlns:ns0="http://schemas.openxmlformats.org/wordprocessingml/2006/main" xmlns:ns1="http://schemas.openxmlformats.org/markup-compatibility/2006" ns1:Ignorable="w14 wp14">
  <ns0:body>
    <ns0:p>
      <ns0:pPr>
        <ns0:jc ns0:val="center"/>
      </ns0:pPr>
      <ns0:r>
        <ns0:rPr>
          <ns0:sz ns0:val="56"/>
        </ns0:rPr>
        <ns0:br/>
        <ns0:br/>
        <ns0:br/>
        <ns0:t xml:space="preserve">Spécifications fonctionnelles</ns0:t>
        <ns0:br/>
        <ns0:t xml:space="preserve">Préparation du tampon</ns0:t>
        <ns0:br/>
      </ns0:r>
    </ns0:p>
    <ns0:p>
      <ns0:r>
        <ns0:br/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t>Nom / Rôle du projet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Signature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Date</ns0:t>
              <ns0:br/>
              <ns0:t>(jj/mm/aaaa)</ns0:t>
            </ns0:r>
          </ns0:p>
        </ns0:tc>
      </ns0:tr>
      <ns0:tr>
        <ns0:tc>
          <ns0:tcPr>
            <ns0:tcW ns0:type="dxa" ns0:w="4320"/>
          </ns0:tcPr>
          <ns0:p>
            <ns0:r>
              <ns0:t>Auteur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  <ns0:tr>
        <ns0:tc>
          <ns0:tcPr>
            <ns0:tcW ns0:type="dxa" ns0:w="4320"/>
          </ns0:tcPr>
          <ns0:p>
            <ns0:r>
              <ns0:t>Appréciation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Cambria (Body)" ns0:hAnsi="Cambria (Body)"/>
          <ns0:color ns0:val="000000"/>
          <ns0:sz ns0:val="36"/>
        </ns0:rPr>
        <ns0:t>Table des matières</ns0:t>
      </ns0:r>
    </ns0:p>
    <ns0:p>
      <ns0:r>
        <ns0:br/>
        <ns0:br/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1. Présentation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1.1 Glossaire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2. Carte d'identité de bloc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3. Variables d'entrée par blocs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4. Spécification détaillée du bloc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4.1 Description du modèle</ns0:t>
      </ns0:r>
    </ns0:p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1. INTRODUCTION</ns0:t>
      </ns0:r>
    </ns0:p>
    <ns0:p>
      <ns0:r>
        <ns0:t xml:space="preserve">Le cas échéant</ns0:t>
      </ns0:r>
    </ns0:p>
    <ns0:p>
      <ns0:r>
        <ns0:rPr>
          <ns0:rFonts ns0:ascii="Arial" ns0:hAnsi="Arial"/>
          <ns0:sz ns0:val="20"/>
        </ns0:rPr>
        <ns0:br/>
        <ns0:t xml:space="preserve">Le cas échéant</ns0:t>
        <ns0:br/>
        <ns0:t>Le présent document a pour but de décrire l'interprétation des exigences par les équipes de SI et de décrire la fonctionnalité proposée.</ns0:t>
        <ns0:br/>
        <ns0:t xml:space="preserve">Le cas échéant</ns0:t>
      </ns0:r>
    </ns0:p>
    <ns0:p>
      <ns0:r>
        <ns0:br/>
        <ns0:br/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1.1 Glossaire</ns0:t>
      </ns0:r>
    </ns0:p>
    <ns0:p>
      <ns0:r>
        <ns0:t xml:space="preserve">Le cas échéant</ns0:t>
      </ns0:r>
    </ns0:p>
    <ns0:p>
      <ns0:r>
        <ns0:rPr>
          <ns0:rFonts ns0:ascii="Arial" ns0:hAnsi="Arial"/>
          <ns0:sz ns0:val="20"/>
        </ns0:rPr>
        <ns0:t>La présente section définit le terme et l'acronyme du projet ou du système qui pourraient être utilisés dans le présent document.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Terme ou acronyme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Définition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Sans objet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Sans objet</ns0:t>
            </ns0:r>
          </ns0:p>
        </ns0:tc>
      </ns0:tr>
    </ns0:tbl>
    <ns0:p>
      <ns0:r>
        <ns0:br/>
        <ns0:br/>
        <ns0:br/>
        <ns0:br/>
        <ns0:br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2. CARTE D ' IDENTITÉ DU BLOC</ns0:t>
      </ns0:r>
    </ns0:p>
    <ns0:p>
      <ns0:r>
        <ns0:t xml:space="preserve">Le cas échéant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Dénomination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Version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Désignation des marchandises</ns0:t>
            </ns0:r>
          </ns0:p>
        </ns0:tc>
      </ns0:tr>
      <ns0:tr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XAWT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V1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Préparation du tampon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3. VARIABLES D ' INVESTISSEMENT</ns0:t>
      </ns0:r>
    </ns0:p>
    <ns0:p>
      <ns0:r>
        <ns0:t xml:space="preserve">Le cas échéant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8640"/>
            <ns0:gridSpan ns0:val="3"/>
          </ns0:tcPr>
          <ns0:p>
            <ns0:pPr>
              <ns0:jc ns0:val="center"/>
            </ns0:pPr>
            <ns0:r>
              <ns0:rPr>
                <ns0:b/>
              </ns0:rPr>
              <ns0:t>Variable d'entrée</ns0:t>
            </ns0:r>
          </ns0:p>
        </ns0:tc>
      </ns0:tr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Nom de la variable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Type de données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Désignation des marchandises</ns0:t>
            </ns0:r>
          </ns0:p>
        </ns0:tc>
      </ns0:tr>
      <ns0:tr>
        <ns0:tc>
          <ns0:tcPr>
            <ns0:tcW ns0:type="dxa" ns0:w="2880"/>
          </ns0:tcPr>
          <ns0:p>
            <ns0:r>
              <ns0:t>Identification de l'équipement</ns0:t>
            </ns0:r>
          </ns0:p>
        </ns0:tc>
        <ns0:tc>
          <ns0:tcPr>
            <ns0:tcW ns0:type="dxa" ns0:w="2880"/>
          </ns0:tcPr>
          <ns0:p>
            <ns0:r>
              <ns0:t>Identification de l'équipement</ns0:t>
            </ns0:r>
          </ns0:p>
        </ns0:tc>
        <ns0:tc>
          <ns0:tcPr>
            <ns0:tcW ns0:type="dxa" ns0:w="2880"/>
          </ns0:tcPr>
          <ns0:p>
            <ns0:r>
              <ns0:t>Identification de l'équipement</ns0:t>
            </ns0:r>
          </ns0:p>
        </ns0:tc>
      </ns0:tr>
      <ns0:tr>
        <ns0:tc>
          <ns0:tcPr>
            <ns0:tcW ns0:type="dxa" ns0:w="2880"/>
          </ns0:tcPr>
          <ns0:p>
            <ns0:r>
              <ns0:t>Affectation du matériel</ns0:t>
            </ns0:r>
          </ns0:p>
        </ns0:tc>
        <ns0:tc>
          <ns0:tcPr>
            <ns0:tcW ns0:type="dxa" ns0:w="2880"/>
          </ns0:tcPr>
          <ns0:p>
            <ns0:r>
              <ns0:t>Affectation du matériel</ns0:t>
            </ns0:r>
          </ns0:p>
        </ns0:tc>
        <ns0:tc>
          <ns0:tcPr>
            <ns0:tcW ns0:type="dxa" ns0:w="2880"/>
          </ns0:tcPr>
          <ns0:p>
            <ns0:r>
              <ns0:t>Affectation du matériel</ns0:t>
            </ns0:r>
          </ns0:p>
        </ns0:tc>
      </ns0:tr>
      <ns0:tr>
        <ns0:tc>
          <ns0:tcPr>
            <ns0:tcW ns0:type="dxa" ns0:w="2880"/>
          </ns0:tcPr>
          <ns0:p>
            <ns0:r>
              <ns0:t>État du matériel (GMP)</ns0:t>
            </ns0:r>
          </ns0:p>
        </ns0:tc>
        <ns0:tc>
          <ns0:tcPr>
            <ns0:tcW ns0:type="dxa" ns0:w="2880"/>
          </ns0:tcPr>
          <ns0:p>
            <ns0:r>
              <ns0:t>Texte</ns0:t>
            </ns0:r>
          </ns0:p>
        </ns0:tc>
        <ns0:tc>
          <ns0:tcPr>
            <ns0:tcW ns0:type="dxa" ns0:w="2880"/>
          </ns0:tcPr>
          <ns0:p>
            <ns0:r>
              <ns0:t>État du matériel (GMP)</ns0:t>
            </ns0:r>
          </ns0:p>
        </ns0:tc>
      </ns0:tr>
      <ns0:tr>
        <ns0:tc>
          <ns0:tcPr>
            <ns0:tcW ns0:type="dxa" ns0:w="2880"/>
          </ns0:tcPr>
          <ns0:p>
            <ns0:r>
              <ns0:t>Instruction</ns0:t>
            </ns0:r>
          </ns0:p>
        </ns0:tc>
        <ns0:tc>
          <ns0:tcPr>
            <ns0:tcW ns0:type="dxa" ns0:w="2880"/>
          </ns0:tcPr>
          <ns0:p>
            <ns0:r>
              <ns0:t>Texte</ns0:t>
            </ns0:r>
          </ns0:p>
        </ns0:tc>
        <ns0:tc>
          <ns0:tcPr>
            <ns0:tcW ns0:type="dxa" ns0:w="2880"/>
          </ns0:tcPr>
          <ns0:p>
            <ns0:r>
              <ns0:t>Instruction</ns0:t>
            </ns0:r>
          </ns0:p>
        </ns0:tc>
      </ns0:tr>
      <ns0:tr>
        <ns0:tc>
          <ns0:tcPr>
            <ns0:tcW ns0:type="dxa" ns0:w="2880"/>
          </ns0:tcPr>
          <ns0:p>
            <ns0:r>
              <ns0:t>BPF État de l'équipement de traitement des plaintes</ns0:t>
            </ns0:r>
          </ns0:p>
        </ns0:tc>
        <ns0:tc>
          <ns0:tcPr>
            <ns0:tcW ns0:type="dxa" ns0:w="2880"/>
          </ns0:tcPr>
          <ns0:p>
            <ns0:r>
              <ns0:t>Liste</ns0:t>
            </ns0:r>
          </ns0:p>
        </ns0:tc>
        <ns0:tc>
          <ns0:tcPr>
            <ns0:tcW ns0:type="dxa" ns0:w="2880"/>
          </ns0:tcPr>
          <ns0:p>
            <ns0:r>
              <ns0:t>BPF État de l'équipement de traitement des plaintes</ns0:t>
            </ns0:r>
          </ns0:p>
        </ns0:tc>
      </ns0:tr>
      <ns0:tr>
        <ns0:tc>
          <ns0:tcPr>
            <ns0:tcW ns0:type="dxa" ns0:w="2880"/>
          </ns0:tcPr>
          <ns0:p>
            <ns0:r>
              <ns0:t>BPF Date du matériel conforme</ns0:t>
            </ns0:r>
          </ns0:p>
        </ns0:tc>
        <ns0:tc>
          <ns0:tcPr>
            <ns0:tcW ns0:type="dxa" ns0:w="2880"/>
          </ns0:tcPr>
          <ns0:p>
            <ns0:r>
              <ns0:t>Date</ns0:t>
            </ns0:r>
          </ns0:p>
        </ns0:tc>
        <ns0:tc>
          <ns0:tcPr>
            <ns0:tcW ns0:type="dxa" ns0:w="2880"/>
          </ns0:tcPr>
          <ns0:p>
            <ns0:r>
              <ns0:t>BPF Date du matériel conforme</ns0:t>
            </ns0:r>
          </ns0:p>
        </ns0:tc>
      </ns0:tr>
      <ns0:tr>
        <ns0:tc>
          <ns0:tcPr>
            <ns0:tcW ns0:type="dxa" ns0:w="2880"/>
          </ns0:tcPr>
          <ns0:p>
            <ns0:r>
              <ns0:t>Examen des dossiers terminé</ns0:t>
            </ns0:r>
          </ns0:p>
        </ns0:tc>
        <ns0:tc>
          <ns0:tcPr>
            <ns0:tcW ns0:type="dxa" ns0:w="2880"/>
          </ns0:tcPr>
          <ns0:p>
            <ns0:r>
              <ns0:t>Liste</ns0:t>
            </ns0:r>
          </ns0:p>
        </ns0:tc>
        <ns0:tc>
          <ns0:tcPr>
            <ns0:tcW ns0:type="dxa" ns0:w="2880"/>
          </ns0:tcPr>
          <ns0:p>
            <ns0:r>
              <ns0:t>Examen des dossiers terminé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28"/>
          <ns0:u ns0:val="single"/>
        </ns0:rPr>
        <ns0:t>4. SPÉCIFICATION DÉTAILLÉE DU BLOC</ns0:t>
      </ns0:r>
    </ns0:p>
    <ns0:p>
      <ns0:r>
        <ns0:t xml:space="preserve">Le cas échéant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4.1 Description du modèle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Numéro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Description détaillée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C.F.001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1. Le système affiche l'identification de l'équipement.</ns0:t>
              <ns0:br/>
              <ns0:t>La description "FRM0001" est "Avant le début de la fabrication, effectuer les vérifications suivantes sur l'équipement utilisé (EQP001, EQP002, EQP003 et EQP004)".</ns0:t>
              <ns0:br/>
              <ns0:br/>
              <ns0:t>2. Le système affiche l'état de l'équipement (GMP).</ns0:t>
              <ns0:br/>
              <ns0:t>La description « FRM0002 » est « Avant le début de la fabrication, assurez-vous que les articles liés à la fabrication du lot précédent (absence de matières premières/consommables, absence de documents, absence d'étiquettes, absence d'échantillons, absence de petit équipement sale) ont été retirés de la zone de travail pour la fabrication ».</ns0:t>
              <ns0:br/>
              <ns0:br/>
              <ns0:t>3. Le système affiche le contrôle de l ' état de qualification/étalonnage de l ' équipement.</ns0:t>
              <ns0:br/>
              <ns0:t>La description "FRM0003" est "Matériel qualifié/étalonné". Activité de type de formule avec formule: [Liste "variable" QLFCAL]</ns0:t>
              <ns0:br/>
              <ns0:br/>
              <ns0:t>4. Le système affiche l'état des BPF de l'équipement conforme.</ns0:t>
              <ns0:br/>
              <ns0:t>La description "FRM0004" est "Situation de l'équipement autorisé pour l'utilisation des BPF". Activité de type de formule avec formule: [Date "variable" GMPDAT]</ns0:t>
              <ns0:br/>
              <ns0:br/>
              <ns0:t>5. Le système affiche l'examen des dossiers terminé.</ns0:t>
              <ns0:br/>
              <ns0:t>La description « FRM0005 » est « Examen de dossier terminé ET tampon accepté ». Activité de type de formule avec formule : [Liste « variable » FILREV]</ns0:t>
            </ns0:r>
          </ns0:p>
        </ns0:tc>
      </ns0:tr>
    </ns0:tbl>
    <ns0:sectPr ns0:rsidR="00FC693F" ns0:rsidRPr="0006063C" ns0:rsidSect="00034616">
      <ns0:pgSz ns0:w="12240" ns0:h="15840"/>
      <ns0:pgMar ns0:top="1440" ns0:right="1800" ns0:bottom="1440" ns0:left="1800" ns0:header="720" ns0:footer="720" ns0:gutter="0"/>
      <ns0:cols ns0:space="720"/>
      <ns0:docGrid ns0:linePitch="360"/>
    </ns0:sectPr>
  </ns0:body>
</ns0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