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Functional specifications</ns0:t>
        <ns0:br/>
        <ns0:t xml:space="preserve">Lubrication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 / Role of the project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Assessment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Block ID Card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Detailed block specification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4.1. Block Work 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Description of block design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INTRODUCTION</ns0:t>
      </ns0:r>
    </ns0:p>
    <ns0:p>
      <ns0:r>
        <ns0:t xml:space="preserve">Where applicable</ns0:t>
      </ns0:r>
    </ns0:p>
    <ns0:p>
      <ns0:r>
        <ns0:rPr>
          <ns0:rFonts ns0:ascii="Arial" ns0:hAnsi="Arial"/>
          <ns0:sz ns0:val="20"/>
        </ns0:rPr>
        <ns0:br/>
        <ns0:t xml:space="preserve">Where applicable</ns0:t>
        <ns0:br/>
        <ns0:t>The purpose of this document is to describe the interpretation of requirements by IS teams and to describe the proposed functionality.</ns0:t>
        <ns0:br/>
        <ns0:t xml:space="preserve">Where applicable</ns0:t>
        <ns0:br/>
        <ns0:t>The objective of this block is to:</ns0:t>
        <ns0:br/>
        <ns0:t xml:space="preserve">Where applicable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 Glossary</ns0:t>
      </ns0:r>
    </ns0:p>
    <ns0:p>
      <ns0:r>
        <ns0:t xml:space="preserve">Where applicable</ns0:t>
      </ns0:r>
    </ns0:p>
    <ns0:p>
      <ns0:r>
        <ns0:rPr>
          <ns0:rFonts ns0:ascii="Arial" ns0:hAnsi="Arial"/>
          <ns0:sz ns0:val="20"/>
        </ns0:rPr>
        <ns0:t>This section defines the term and acronym of the project or system that could be used in this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or acronym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Not applicable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Not applicable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MAP</ns0:t>
      </ns0:r>
    </ns0:p>
    <ns0:p>
      <ns0:r>
        <ns0:t xml:space="preserve">Where applicable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SZWK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Lubrication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INVESTMENT VARIABLES</ns0:t>
      </ns0:r>
    </ns0:p>
    <ns0:p>
      <ns0:r>
        <ns0:t xml:space="preserve">Where applicable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Input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Data 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t>Taking of materials</ns0:t>
            </ns0:r>
          </ns0:p>
        </ns0:tc>
        <ns0:tc>
          <ns0:tcPr>
            <ns0:tcW ns0:type="dxa" ns0:w="2880"/>
          </ns0:tcPr>
          <ns0:p>
            <ns0:r>
              <ns0:t>Number</ns0:t>
            </ns0:r>
          </ns0:p>
        </ns0:tc>
        <ns0:tc>
          <ns0:tcPr>
            <ns0:tcW ns0:type="dxa" ns0:w="2880"/>
          </ns0:tcPr>
          <ns0:p>
            <ns0:r>
              <ns0:t>Get out the carpet #6</ns0:t>
            </ns0:r>
          </ns0:p>
        </ns0:tc>
      </ns0:tr>
      <ns0:tr>
        <ns0:tc>
          <ns0:tcPr>
            <ns0:tcW ns0:type="dxa" ns0:w="2880"/>
          </ns0:tcPr>
          <ns0:p>
            <ns0:r>
              <ns0:t>Transfer instruction t</ns0:t>
            </ns0:r>
          </ns0:p>
        </ns0:tc>
        <ns0:tc>
          <ns0:tcPr>
            <ns0:tcW ns0:type="dxa" ns0:w="2880"/>
          </ns0:tcPr>
          <ns0:p>
            <ns0:r>
              <ns0:t>Text</ns0:t>
            </ns0:r>
          </ns0:p>
        </ns0:tc>
        <ns0:tc>
          <ns0:tcPr>
            <ns0:tcW ns0:type="dxa" ns0:w="2880"/>
          </ns0:tcPr>
          <ns0:p>
            <ns0:r>
              <ns0:t>Transfer materials to mixer</ns0:t>
            </ns0:r>
          </ns0:p>
        </ns0:tc>
      </ns0:tr>
      <ns0:tr>
        <ns0:tc>
          <ns0:tcPr>
            <ns0:tcW ns0:type="dxa" ns0:w="2880"/>
          </ns0:tcPr>
          <ns0:p>
            <ns0:r>
              <ns0:t>Record the mixer speed</ns0:t>
            </ns0:r>
          </ns0:p>
        </ns0:tc>
        <ns0:tc>
          <ns0:tcPr>
            <ns0:tcW ns0:type="dxa" ns0:w="2880"/>
          </ns0:tcPr>
          <ns0:p>
            <ns0:r>
              <ns0:t>Number</ns0:t>
            </ns0:r>
          </ns0:p>
        </ns0:tc>
        <ns0:tc>
          <ns0:tcPr>
            <ns0:tcW ns0:type="dxa" ns0:w="2880"/>
          </ns0:tcPr>
          <ns0:p>
            <ns0:r>
              <ns0:t>Mixer speed</ns0:t>
            </ns0:r>
          </ns0:p>
        </ns0:tc>
      </ns0:tr>
      <ns0:tr>
        <ns0:tc>
          <ns0:tcPr>
            <ns0:tcW ns0:type="dxa" ns0:w="2880"/>
          </ns0:tcPr>
          <ns0:p>
            <ns0:r>
              <ns0:t>Save the mixing time</ns0:t>
            </ns0:r>
          </ns0:p>
        </ns0:tc>
        <ns0:tc>
          <ns0:tcPr>
            <ns0:tcW ns0:type="dxa" ns0:w="2880"/>
          </ns0:tcPr>
          <ns0:p>
            <ns0:r>
              <ns0:t>Number</ns0:t>
            </ns0:r>
          </ns0:p>
        </ns0:tc>
        <ns0:tc>
          <ns0:tcPr>
            <ns0:tcW ns0:type="dxa" ns0:w="2880"/>
          </ns0:tcPr>
          <ns0:p>
            <ns0:r>
              <ns0:t>Mixing time</ns0:t>
            </ns0:r>
          </ns0:p>
        </ns0:tc>
      </ns0:tr>
      <ns0:tr>
        <ns0:tc>
          <ns0:tcPr>
            <ns0:tcW ns0:type="dxa" ns0:w="2880"/>
          </ns0:tcPr>
          <ns0:p>
            <ns0:r>
              <ns0:t>Record the start time of the mixture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Startup Process Time</ns0:t>
            </ns0:r>
          </ns0:p>
        </ns0:tc>
      </ns0:tr>
      <ns0:tr>
        <ns0:tc>
          <ns0:tcPr>
            <ns0:tcW ns0:type="dxa" ns0:w="2880"/>
          </ns0:tcPr>
          <ns0:p>
            <ns0:r>
              <ns0:t>Record the mixing end time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Completion time of the process</ns0:t>
            </ns0:r>
          </ns0:p>
        </ns0:tc>
      </ns0:tr>
      <ns0:tr>
        <ns0:tc>
          <ns0:tcPr>
            <ns0:tcW ns0:type="dxa" ns0:w="2880"/>
          </ns0:tcPr>
          <ns0:p>
            <ns0:r>
              <ns0:t>Automatic calculation of total preparation</ns0:t>
            </ns0:r>
          </ns0:p>
        </ns0:tc>
        <ns0:tc>
          <ns0:tcPr>
            <ns0:tcW ns0:type="dxa" ns0:w="2880"/>
          </ns0:tcPr>
          <ns0:p>
            <ns0:r>
              <ns0:t>Number</ns0:t>
            </ns0:r>
          </ns0:p>
        </ns0:tc>
        <ns0:tc>
          <ns0:tcPr>
            <ns0:tcW ns0:type="dxa" ns0:w="2880"/>
          </ns0:tcPr>
          <ns0:p>
            <ns0:r>
              <ns0:t>Time evaluation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DETAILED SPECIFICATION OF THE BLOCK</ns0:t>
      </ns0:r>
    </ns0:p>
    <ns0:p>
      <ns0:r>
        <ns0:t xml:space="preserve">Where applicable</ns0:t>
      </ns0:r>
    </ns0:p>
    <ns0:p>
      <ns0:r>
        <ns0:rPr>
          <ns0:rFonts ns0:ascii="Arial" ns0:hAnsi="Arial"/>
          <ns0:sz ns0:val="20"/>
        </ns0:rPr>
        <ns0:t>The following sections describe in detail the use and configuration of the blocks.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Workflow in bulk</ns0:t>
      </ns0:r>
    </ns0:p>
    <ns0:p>
      <ns0:r>
        <ns0:rPr>
          <ns0:rFonts ns0:ascii="Arial" ns0:hAnsi="Arial"/>
          <ns0:sz ns0:val="20"/>
        </ns0:rPr>
        <ns0:t>The following workflow describes the contents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Number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of the workflow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C.F.001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has two distinct activities: to add a specified amount of material to the mixer and to mix it for a specified period of time, correlating the amount of material to the mixing time.</ns0:t>
            </ns0:r>
          </ns0:p>
        </ns0:tc>
      </ns0:tr>
    </ns0:tbl>
    <ns0:p>
      <ns0:r>
        <ns0:t xml:space="preserve">Where applicable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 Description of block design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Number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C.F.001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system displays the quantity of material to be added to the mixer.</ns0:t>
              <ns0:br/>
              <ns0:t>The description "FRM0001" is "Mat#6: ......Kg". Formula type activity with formula: [Num "variable" Mat#6]</ns0:t>
              <ns0:br/>
              <ns0:br/>
              <ns0:t>2. The system displays the mixing time.</ns0:t>
              <ns0:br/>
              <ns0:t>The description "FRM0002" is "Mixing Time:...Min". Formula type activity with formula: [Num "variable" MixTim]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