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ns0:document xmlns:ns0="http://schemas.openxmlformats.org/wordprocessingml/2006/main" xmlns:ns1="http://schemas.openxmlformats.org/markup-compatibility/2006" xmlns:ns2="http://schemas.openxmlformats.org/drawingml/2006/wordprocessingDrawing" xmlns:ns3="http://schemas.openxmlformats.org/drawingml/2006/main" xmlns:ns4="http://schemas.openxmlformats.org/drawingml/2006/picture" xmlns:ns5="http://schemas.openxmlformats.org/officeDocument/2006/relationships" ns1:Ignorable="w14 wp14">
  <ns0:body>
    <ns0:p>
      <ns0:pPr>
        <ns0:jc ns0:val="center"/>
      </ns0:pPr>
      <ns0:r>
        <ns0:rPr>
          <ns0:sz ns0:val="56"/>
        </ns0:rPr>
        <ns0:br/>
        <ns0:br/>
        <ns0:br/>
        <ns0:t xml:space="preserve">Functional specifications</ns0:t>
        <ns0:br/>
        <ns0:t xml:space="preserve">Enforcement of the IPC</ns0:t>
        <ns0:br/>
      </ns0:r>
    </ns0:p>
    <ns0:p>
      <ns0:r>
        <ns0:br/>
        <ns0:br/>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4320"/>
          </ns0:tcPr>
          <ns0:p>
            <ns0:pPr>
              <ns0:jc ns0:val="center"/>
            </ns0:pPr>
            <ns0:r>
              <ns0:t>Name / Role of the project</ns0:t>
            </ns0:r>
          </ns0:p>
        </ns0:tc>
        <ns0:tc>
          <ns0:tcPr>
            <ns0:tcW ns0:type="dxa" ns0:w="4320"/>
          </ns0:tcPr>
          <ns0:p>
            <ns0:pPr>
              <ns0:jc ns0:val="center"/>
            </ns0:pPr>
            <ns0:r>
              <ns0:t>Signature</ns0:t>
            </ns0:r>
          </ns0:p>
        </ns0:tc>
        <ns0:tc>
          <ns0:tcPr>
            <ns0:tcW ns0:type="dxa" ns0:w="4320"/>
          </ns0:tcPr>
          <ns0:p>
            <ns0:pPr>
              <ns0:jc ns0:val="center"/>
            </ns0:pPr>
            <ns0:r>
              <ns0:t>Date</ns0:t>
              <ns0:br/>
              <ns0:t>(dd/mm/yyyy)</ns0:t>
            </ns0:r>
          </ns0:p>
        </ns0:tc>
      </ns0:tr>
      <ns0:tr>
        <ns0:tc>
          <ns0:tcPr>
            <ns0:tcW ns0:type="dxa" ns0:w="4320"/>
          </ns0:tcPr>
          <ns0:p>
            <ns0:r>
              <ns0:t>Author</ns0:t>
            </ns0:r>
          </ns0:p>
        </ns0:tc>
        <ns0:tc>
          <ns0:tcPr>
            <ns0:tcW ns0:type="dxa" ns0:w="4320"/>
          </ns0:tcPr>
          <ns0:p/>
        </ns0:tc>
        <ns0:tc>
          <ns0:tcPr>
            <ns0:tcW ns0:type="dxa" ns0:w="4320"/>
          </ns0:tcPr>
          <ns0:p/>
        </ns0:tc>
      </ns0:tr>
      <ns0:tr>
        <ns0:tc>
          <ns0:tcPr>
            <ns0:tcW ns0:type="dxa" ns0:w="4320"/>
          </ns0:tcPr>
          <ns0:p>
            <ns0:r>
              <ns0:t>Assessment</ns0:t>
            </ns0:r>
          </ns0:p>
        </ns0:tc>
        <ns0:tc>
          <ns0:tcPr>
            <ns0:tcW ns0:type="dxa" ns0:w="4320"/>
          </ns0:tcPr>
          <ns0:p/>
        </ns0:tc>
        <ns0:tc>
          <ns0:tcPr>
            <ns0:tcW ns0:type="dxa" ns0:w="4320"/>
          </ns0:tcPr>
          <ns0:p/>
        </ns0:tc>
      </ns0:tr>
    </ns0:tbl>
    <ns0:p>
      <ns0:r>
        <ns0:br ns0:type="page"/>
      </ns0:r>
    </ns0:p>
    <ns0:p>
      <ns0:pPr>
        <ns0:pStyle ns0:val="Heading1"/>
      </ns0:pPr>
      <ns0:r>
        <ns0:rPr>
          <ns0:rFonts ns0:ascii="Cambria (Body)" ns0:hAnsi="Cambria (Body)"/>
          <ns0:color ns0:val="000000"/>
          <ns0:sz ns0:val="36"/>
        </ns0:rPr>
        <ns0:t>Contents</ns0:t>
      </ns0:r>
    </ns0:p>
    <ns0:p>
      <ns0:r>
        <ns0:br/>
        <ns0:br/>
      </ns0:r>
    </ns0:p>
    <ns0:p>
      <ns0:pPr>
        <ns0:pStyle ns0:val="TOCHeading"/>
        <ns0:jc ns0:val="left"/>
      </ns0:pPr>
      <ns0:r>
        <ns0:rPr>
          <ns0:rFonts ns0:ascii="Arial Narrow" ns0:hAnsi="Arial Narrow"/>
          <ns0:color ns0:val="64AAE6"/>
          <ns0:sz ns0:val="28"/>
        </ns0:rPr>
        <ns0:t>1. Introduction</ns0:t>
      </ns0:r>
    </ns0:p>
    <ns0:p>
      <ns0:pPr>
        <ns0:pStyle ns0:val="TOCHeading"/>
        <ns0:ind ns0:left="360"/>
        <ns0:jc ns0:val="left"/>
      </ns0:pPr>
      <ns0:r>
        <ns0:rPr>
          <ns0:rFonts ns0:ascii="Arial Narrow" ns0:hAnsi="Arial Narrow"/>
          <ns0:color ns0:val="64AAE6"/>
          <ns0:sz ns0:val="24"/>
        </ns0:rPr>
        <ns0:t>1.1 Glossary</ns0:t>
      </ns0:r>
    </ns0:p>
    <ns0:p>
      <ns0:pPr>
        <ns0:pStyle ns0:val="TOCHeading"/>
        <ns0:jc ns0:val="left"/>
      </ns0:pPr>
      <ns0:r>
        <ns0:rPr>
          <ns0:rFonts ns0:ascii="Arial Narrow" ns0:hAnsi="Arial Narrow"/>
          <ns0:color ns0:val="64AAE6"/>
          <ns0:sz ns0:val="28"/>
        </ns0:rPr>
        <ns0:t>2. Block ID Card</ns0:t>
      </ns0:r>
    </ns0:p>
    <ns0:p>
      <ns0:pPr>
        <ns0:pStyle ns0:val="TOCHeading"/>
        <ns0:jc ns0:val="left"/>
      </ns0:pPr>
      <ns0:r>
        <ns0:rPr>
          <ns0:rFonts ns0:ascii="Arial Narrow" ns0:hAnsi="Arial Narrow"/>
          <ns0:color ns0:val="64AAE6"/>
          <ns0:sz ns0:val="28"/>
        </ns0:rPr>
        <ns0:t>3. Block Input Variables</ns0:t>
      </ns0:r>
    </ns0:p>
    <ns0:p>
      <ns0:pPr>
        <ns0:pStyle ns0:val="TOCHeading"/>
        <ns0:jc ns0:val="left"/>
      </ns0:pPr>
      <ns0:r>
        <ns0:rPr>
          <ns0:rFonts ns0:ascii="Arial Narrow" ns0:hAnsi="Arial Narrow"/>
          <ns0:color ns0:val="64AAE6"/>
          <ns0:sz ns0:val="28"/>
        </ns0:rPr>
        <ns0:t>4. Detailed block specification</ns0:t>
      </ns0:r>
    </ns0:p>
    <ns0:p>
      <ns0:pPr>
        <ns0:pStyle ns0:val="TOCHeading"/>
        <ns0:ind ns0:left="360"/>
        <ns0:jc ns0:val="left"/>
      </ns0:pPr>
      <ns0:r>
        <ns0:rPr>
          <ns0:rFonts ns0:ascii="Arial Narrow" ns0:hAnsi="Arial Narrow"/>
          <ns0:color ns0:val="64AAE6"/>
          <ns0:sz ns0:val="24"/>
        </ns0:rPr>
        <ns0:t>4.1. Block Work Flow</ns0:t>
      </ns0:r>
    </ns0:p>
    <ns0:p>
      <ns0:pPr>
        <ns0:pStyle ns0:val="TOCHeading"/>
        <ns0:ind ns0:left="360"/>
        <ns0:jc ns0:val="left"/>
      </ns0:pPr>
      <ns0:r>
        <ns0:rPr>
          <ns0:rFonts ns0:ascii="Arial Narrow" ns0:hAnsi="Arial Narrow"/>
          <ns0:color ns0:val="64AAE6"/>
          <ns0:sz ns0:val="24"/>
        </ns0:rPr>
        <ns0:t>4.2 Description of block design</ns0:t>
      </ns0:r>
    </ns0:p>
    <ns0:p>
      <ns0:r>
        <ns0:br ns0:type="page"/>
      </ns0:r>
    </ns0:p>
    <ns0:p>
      <ns0:pPr>
        <ns0:pStyle ns0:val="Heading1"/>
      </ns0:pPr>
      <ns0:r>
        <ns0:rPr>
          <ns0:rFonts ns0:ascii="Arial" ns0:hAnsi="Arial"/>
          <ns0:color ns0:val="000000"/>
          <ns0:sz ns0:val="36"/>
          <ns0:u ns0:val="single"/>
        </ns0:rPr>
        <ns0:t>1. INTRODUCTION</ns0:t>
      </ns0:r>
    </ns0:p>
    <ns0:p>
      <ns0:r>
        <ns0:t xml:space="preserve">Where applicable</ns0:t>
      </ns0:r>
    </ns0:p>
    <ns0:p>
      <ns0:r>
        <ns0:rPr>
          <ns0:rFonts ns0:ascii="Arial" ns0:hAnsi="Arial"/>
          <ns0:sz ns0:val="20"/>
        </ns0:rPr>
        <ns0:br/>
        <ns0:t xml:space="preserve">Where applicable</ns0:t>
        <ns0:br/>
        <ns0:t>The purpose of this document is to describe the interpretation of requirements by IS teams and to describe the proposed functionality.</ns0:t>
        <ns0:br/>
        <ns0:t xml:space="preserve">Where applicable</ns0:t>
        <ns0:br/>
        <ns0:t>The objective of this block is to:</ns0:t>
        <ns0:br/>
        <ns0:t xml:space="preserve">Where applicable</ns0:t>
      </ns0:r>
    </ns0:p>
    <ns0:p>
      <ns0:pPr>
        <ns0:pStyle ns0:val="ListBullet"/>
        <ns0:ind ns0:left="576"/>
      </ns0:pPr>
      <ns0:r>
        <ns0:rPr>
          <ns0:rFonts ns0:ascii="Arial" ns0:hAnsi="Arial"/>
          <ns0:sz ns0:val="20"/>
        </ns0:rPr>
        <ns0:t>Identify the equipment or workstation on which the IPC is executed Date and time of sampling by means of a check box Recording compliance with the IPC by means of a check box Engaging the registration operator with an electronic signature</ns0:t>
      </ns0:r>
    </ns0:p>
    <ns0:p>
      <ns0:r>
        <ns0:br/>
        <ns0:br/>
      </ns0:r>
    </ns0:p>
    <ns0:p>
      <ns0:pPr>
        <ns0:pStyle ns0:val="Heading3"/>
      </ns0:pPr>
      <ns0:r>
        <ns0:rPr>
          <ns0:rFonts ns0:ascii="Arial" ns0:hAnsi="Arial"/>
          <ns0:color ns0:val="000000"/>
          <ns0:sz ns0:val="24"/>
        </ns0:rPr>
        <ns0:t>1.1 Glossary</ns0:t>
      </ns0:r>
    </ns0:p>
    <ns0:p>
      <ns0:r>
        <ns0:t xml:space="preserve">Where applicable</ns0:t>
      </ns0:r>
    </ns0:p>
    <ns0:p>
      <ns0:r>
        <ns0:rPr>
          <ns0:rFonts ns0:ascii="Arial" ns0:hAnsi="Arial"/>
          <ns0:sz ns0:val="20"/>
        </ns0:rPr>
        <ns0:t>This section defines the term and acronym of the project or system that could be used in this document.</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Term or acronym</ns0:t>
            </ns0:r>
          </ns0:p>
        </ns0:tc>
        <ns0:tc>
          <ns0:tcPr>
            <ns0:tcW ns0:type="dxa" ns0:w="4320"/>
          </ns0:tcPr>
          <ns0:p>
            <ns0:pPr>
              <ns0:jc ns0:val="center"/>
            </ns0:pPr>
            <ns0:r>
              <ns0:rPr>
                <ns0:rFonts ns0:ascii="Arial" ns0:hAnsi="Arial"/>
                <ns0:b/>
                <ns0:color ns0:val="000000"/>
                <ns0:sz ns0:val="20"/>
              </ns0:rPr>
              <ns0:t>Definition</ns0:t>
            </ns0:r>
          </ns0:p>
        </ns0:tc>
      </ns0:tr>
      <ns0:tr>
        <ns0:tc>
          <ns0:tcPr>
            <ns0:tcW ns0:type="dxa" ns0:w="4320"/>
          </ns0:tcPr>
          <ns0:p>
            <ns0:r>
              <ns0:rPr>
                <ns0:rFonts ns0:ascii="Arial" ns0:hAnsi="Arial"/>
                <ns0:color ns0:val="000000"/>
                <ns0:sz ns0:val="20"/>
              </ns0:rPr>
              <ns0:t>Not applicable</ns0:t>
            </ns0:r>
          </ns0:p>
        </ns0:tc>
        <ns0:tc>
          <ns0:tcPr>
            <ns0:tcW ns0:type="dxa" ns0:w="4320"/>
          </ns0:tcPr>
          <ns0:p>
            <ns0:r>
              <ns0:rPr>
                <ns0:rFonts ns0:ascii="Arial" ns0:hAnsi="Arial"/>
                <ns0:color ns0:val="000000"/>
                <ns0:sz ns0:val="20"/>
              </ns0:rPr>
              <ns0:t>Not applicable</ns0:t>
            </ns0:r>
          </ns0:p>
        </ns0:tc>
      </ns0:tr>
    </ns0:tbl>
    <ns0:p>
      <ns0:r>
        <ns0:br/>
        <ns0:br/>
        <ns0:br/>
        <ns0:br/>
        <ns0:br/>
      </ns0:r>
    </ns0:p>
    <ns0:p>
      <ns0:pPr>
        <ns0:pStyle ns0:val="Heading1"/>
      </ns0:pPr>
      <ns0:r>
        <ns0:rPr>
          <ns0:rFonts ns0:ascii="Arial" ns0:hAnsi="Arial"/>
          <ns0:color ns0:val="000000"/>
          <ns0:sz ns0:val="36"/>
          <ns0:u ns0:val="single"/>
        </ns0:rPr>
        <ns0:t>2. BLOCK IDENTITY MAP</ns0:t>
      </ns0:r>
    </ns0:p>
    <ns0:p>
      <ns0:r>
        <ns0:t xml:space="preserve">Where applicable</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2880"/>
          </ns0:tcPr>
          <ns0:p>
            <ns0:pPr>
              <ns0:jc ns0:val="center"/>
            </ns0:pPr>
            <ns0:r>
              <ns0:rPr>
                <ns0:rFonts ns0:ascii="Arial" ns0:hAnsi="Arial"/>
                <ns0:b/>
                <ns0:color ns0:val="000000"/>
                <ns0:sz ns0:val="20"/>
              </ns0:rPr>
              <ns0:t>Name</ns0:t>
            </ns0:r>
          </ns0:p>
        </ns0:tc>
        <ns0:tc>
          <ns0:tcPr>
            <ns0:tcW ns0:type="dxa" ns0:w="2880"/>
          </ns0:tcPr>
          <ns0:p>
            <ns0:pPr>
              <ns0:jc ns0:val="center"/>
            </ns0:pPr>
            <ns0:r>
              <ns0:rPr>
                <ns0:rFonts ns0:ascii="Arial" ns0:hAnsi="Arial"/>
                <ns0:b/>
                <ns0:color ns0:val="000000"/>
                <ns0:sz ns0:val="20"/>
              </ns0:rPr>
              <ns0:t>Version</ns0:t>
            </ns0:r>
          </ns0:p>
        </ns0:tc>
        <ns0:tc>
          <ns0:tcPr>
            <ns0:tcW ns0:type="dxa" ns0:w="2880"/>
          </ns0:tcPr>
          <ns0:p>
            <ns0:pPr>
              <ns0:jc ns0:val="center"/>
            </ns0:pPr>
            <ns0:r>
              <ns0:rPr>
                <ns0:rFonts ns0:ascii="Arial" ns0:hAnsi="Arial"/>
                <ns0:b/>
                <ns0:color ns0:val="000000"/>
                <ns0:sz ns0:val="20"/>
              </ns0:rPr>
              <ns0:t>Description</ns0:t>
            </ns0:r>
          </ns0:p>
        </ns0:tc>
      </ns0:tr>
      <ns0:tr>
        <ns0:tc>
          <ns0:tcPr>
            <ns0:tcW ns0:type="dxa" ns0:w="2880"/>
          </ns0:tcPr>
          <ns0:p>
            <ns0:r>
              <ns0:rPr>
                <ns0:rFonts ns0:ascii="Arial" ns0:hAnsi="Arial"/>
                <ns0:color ns0:val="000000"/>
                <ns0:sz ns0:val="20"/>
              </ns0:rPr>
              <ns0:t>YXCR</ns0:t>
            </ns0:r>
          </ns0:p>
        </ns0:tc>
        <ns0:tc>
          <ns0:tcPr>
            <ns0:tcW ns0:type="dxa" ns0:w="2880"/>
          </ns0:tcPr>
          <ns0:p>
            <ns0:r>
              <ns0:rPr>
                <ns0:rFonts ns0:ascii="Arial" ns0:hAnsi="Arial"/>
                <ns0:color ns0:val="000000"/>
                <ns0:sz ns0:val="20"/>
              </ns0:rPr>
              <ns0:t>V1</ns0:t>
            </ns0:r>
          </ns0:p>
        </ns0:tc>
        <ns0:tc>
          <ns0:tcPr>
            <ns0:tcW ns0:type="dxa" ns0:w="2880"/>
          </ns0:tcPr>
          <ns0:p>
            <ns0:r>
              <ns0:rPr>
                <ns0:rFonts ns0:ascii="Arial" ns0:hAnsi="Arial"/>
                <ns0:color ns0:val="000000"/>
                <ns0:sz ns0:val="20"/>
              </ns0:rPr>
              <ns0:t>Enforcement of the IPC</ns0:t>
            </ns0:r>
          </ns0:p>
        </ns0:tc>
      </ns0:tr>
    </ns0:tbl>
    <ns0:p>
      <ns0:r>
        <ns0:br ns0:type="page"/>
      </ns0:r>
    </ns0:p>
    <ns0:p>
      <ns0:pPr>
        <ns0:pStyle ns0:val="Heading1"/>
      </ns0:pPr>
      <ns0:r>
        <ns0:rPr>
          <ns0:rFonts ns0:ascii="Arial" ns0:hAnsi="Arial"/>
          <ns0:color ns0:val="000000"/>
          <ns0:sz ns0:val="36"/>
          <ns0:u ns0:val="single"/>
        </ns0:rPr>
        <ns0:t>3. INVESTMENT VARIABLES</ns0:t>
      </ns0:r>
    </ns0:p>
    <ns0:p>
      <ns0:r>
        <ns0:t xml:space="preserve">Where applicable</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8640"/>
            <ns0:gridSpan ns0:val="3"/>
          </ns0:tcPr>
          <ns0:p>
            <ns0:pPr>
              <ns0:jc ns0:val="center"/>
            </ns0:pPr>
            <ns0:r>
              <ns0:rPr>
                <ns0:b/>
              </ns0:rPr>
              <ns0:t>Input variable</ns0:t>
            </ns0:r>
          </ns0:p>
        </ns0:tc>
      </ns0:tr>
      <ns0:tr>
        <ns0:tc>
          <ns0:tcPr>
            <ns0:tcW ns0:type="dxa" ns0:w="2880"/>
          </ns0:tcPr>
          <ns0:p>
            <ns0:pPr>
              <ns0:jc ns0:val="center"/>
            </ns0:pPr>
            <ns0:r>
              <ns0:rPr>
                <ns0:b/>
              </ns0:rPr>
              <ns0:t>Variable name</ns0:t>
            </ns0:r>
          </ns0:p>
        </ns0:tc>
        <ns0:tc>
          <ns0:tcPr>
            <ns0:tcW ns0:type="dxa" ns0:w="2880"/>
          </ns0:tcPr>
          <ns0:p>
            <ns0:pPr>
              <ns0:jc ns0:val="center"/>
            </ns0:pPr>
            <ns0:r>
              <ns0:rPr>
                <ns0:b/>
              </ns0:rPr>
              <ns0:t>Data type</ns0:t>
            </ns0:r>
          </ns0:p>
        </ns0:tc>
        <ns0:tc>
          <ns0:tcPr>
            <ns0:tcW ns0:type="dxa" ns0:w="2880"/>
          </ns0:tcPr>
          <ns0:p>
            <ns0:pPr>
              <ns0:jc ns0:val="center"/>
            </ns0:pPr>
            <ns0:r>
              <ns0:rPr>
                <ns0:b/>
              </ns0:rPr>
              <ns0:t>Description</ns0:t>
            </ns0:r>
          </ns0:p>
        </ns0:tc>
      </ns0:tr>
      <ns0:tr>
        <ns0:tc>
          <ns0:tcPr>
            <ns0:tcW ns0:type="dxa" ns0:w="2880"/>
          </ns0:tcPr>
          <ns0:p>
            <ns0:r>
              <ns0:t>Instruction ref (x3)</ns0:t>
            </ns0:r>
          </ns0:p>
        </ns0:tc>
        <ns0:tc>
          <ns0:tcPr>
            <ns0:tcW ns0:type="dxa" ns0:w="2880"/>
          </ns0:tcPr>
          <ns0:p>
            <ns0:r>
              <ns0:t>hyperlink</ns0:t>
            </ns0:r>
          </ns0:p>
        </ns0:tc>
        <ns0:tc>
          <ns0:tcPr>
            <ns0:tcW ns0:type="dxa" ns0:w="2880"/>
          </ns0:tcPr>
          <ns0:p>
            <ns0:r>
              <ns0:t>Not applicable</ns0:t>
            </ns0:r>
          </ns0:p>
        </ns0:tc>
      </ns0:tr>
      <ns0:tr>
        <ns0:tc>
          <ns0:tcPr>
            <ns0:tcW ns0:type="dxa" ns0:w="2880"/>
          </ns0:tcPr>
          <ns0:p>
            <ns0:r>
              <ns0:t>Equipment _Name</ns0:t>
            </ns0:r>
          </ns0:p>
        </ns0:tc>
        <ns0:tc>
          <ns0:tcPr>
            <ns0:tcW ns0:type="dxa" ns0:w="2880"/>
          </ns0:tcPr>
          <ns0:p>
            <ns0:r>
              <ns0:t>Text</ns0:t>
            </ns0:r>
          </ns0:p>
        </ns0:tc>
        <ns0:tc>
          <ns0:tcPr>
            <ns0:tcW ns0:type="dxa" ns0:w="2880"/>
          </ns0:tcPr>
          <ns0:p>
            <ns0:r>
              <ns0:t>Not applicable</ns0:t>
            </ns0:r>
          </ns0:p>
        </ns0:tc>
      </ns0:tr>
      <ns0:tr>
        <ns0:tc>
          <ns0:tcPr>
            <ns0:tcW ns0:type="dxa" ns0:w="2880"/>
          </ns0:tcPr>
          <ns0:p>
            <ns0:r>
              <ns0:t>Sampling of X units (x2)</ns0:t>
            </ns0:r>
          </ns0:p>
        </ns0:tc>
        <ns0:tc>
          <ns0:tcPr>
            <ns0:tcW ns0:type="dxa" ns0:w="2880"/>
          </ns0:tcPr>
          <ns0:p>
            <ns0:r>
              <ns0:t>Number</ns0:t>
            </ns0:r>
          </ns0:p>
        </ns0:tc>
        <ns0:tc>
          <ns0:tcPr>
            <ns0:tcW ns0:type="dxa" ns0:w="2880"/>
          </ns0:tcPr>
          <ns0:p>
            <ns0:r>
              <ns0:t>Not applicable</ns0:t>
            </ns0:r>
          </ns0:p>
        </ns0:tc>
      </ns0:tr>
      <ns0:tr>
        <ns0:tc>
          <ns0:tcPr>
            <ns0:tcW ns0:type="dxa" ns0:w="2880"/>
          </ns0:tcPr>
          <ns0:p>
            <ns0:r>
              <ns0:t>Date - Test</ns0:t>
            </ns0:r>
          </ns0:p>
        </ns0:tc>
        <ns0:tc>
          <ns0:tcPr>
            <ns0:tcW ns0:type="dxa" ns0:w="2880"/>
          </ns0:tcPr>
          <ns0:p>
            <ns0:r>
              <ns0:t>Date</ns0:t>
            </ns0:r>
          </ns0:p>
        </ns0:tc>
        <ns0:tc>
          <ns0:tcPr>
            <ns0:tcW ns0:type="dxa" ns0:w="2880"/>
          </ns0:tcPr>
          <ns0:p>
            <ns0:r>
              <ns0:t>Not applicable</ns0:t>
            </ns0:r>
          </ns0:p>
        </ns0:tc>
      </ns0:tr>
      <ns0:tr>
        <ns0:tc>
          <ns0:tcPr>
            <ns0:tcW ns0:type="dxa" ns0:w="2880"/>
          </ns0:tcPr>
          <ns0:p>
            <ns0:r>
              <ns0:t>Time - Tests</ns0:t>
            </ns0:r>
          </ns0:p>
        </ns0:tc>
        <ns0:tc>
          <ns0:tcPr>
            <ns0:tcW ns0:type="dxa" ns0:w="2880"/>
          </ns0:tcPr>
          <ns0:p>
            <ns0:r>
              <ns0:t>Time</ns0:t>
            </ns0:r>
          </ns0:p>
        </ns0:tc>
        <ns0:tc>
          <ns0:tcPr>
            <ns0:tcW ns0:type="dxa" ns0:w="2880"/>
          </ns0:tcPr>
          <ns0:p>
            <ns0:r>
              <ns0:t>Not applicable</ns0:t>
            </ns0:r>
          </ns0:p>
        </ns0:tc>
      </ns0:tr>
      <ns0:tr>
        <ns0:tc>
          <ns0:tcPr>
            <ns0:tcW ns0:type="dxa" ns0:w="2880"/>
          </ns0:tcPr>
          <ns0:p>
            <ns0:r>
              <ns0:t>e-signature - test</ns0:t>
            </ns0:r>
          </ns0:p>
        </ns0:tc>
        <ns0:tc>
          <ns0:tcPr>
            <ns0:tcW ns0:type="dxa" ns0:w="2880"/>
          </ns0:tcPr>
          <ns0:p>
            <ns0:r>
              <ns0:t>Electronic sign</ns0:t>
            </ns0:r>
          </ns0:p>
        </ns0:tc>
        <ns0:tc>
          <ns0:tcPr>
            <ns0:tcW ns0:type="dxa" ns0:w="2880"/>
          </ns0:tcPr>
          <ns0:p>
            <ns0:r>
              <ns0:t>Not applicable</ns0:t>
            </ns0:r>
          </ns0:p>
        </ns0:tc>
      </ns0:tr>
    </ns0:tbl>
    <ns0:p>
      <ns0:r>
        <ns0:br ns0:type="page"/>
      </ns0:r>
    </ns0:p>
    <ns0:p>
      <ns0:pPr>
        <ns0:pStyle ns0:val="Heading1"/>
      </ns0:pPr>
      <ns0:r>
        <ns0:rPr>
          <ns0:rFonts ns0:ascii="Arial" ns0:hAnsi="Arial"/>
          <ns0:color ns0:val="000000"/>
          <ns0:sz ns0:val="28"/>
          <ns0:u ns0:val="single"/>
        </ns0:rPr>
        <ns0:t>4. DETAILED SPECIFICATION OF THE BLOCK</ns0:t>
      </ns0:r>
    </ns0:p>
    <ns0:p>
      <ns0:r>
        <ns0:t xml:space="preserve">Where applicable</ns0:t>
      </ns0:r>
    </ns0:p>
    <ns0:p>
      <ns0:r>
        <ns0:rPr>
          <ns0:rFonts ns0:ascii="Arial" ns0:hAnsi="Arial"/>
          <ns0:sz ns0:val="20"/>
        </ns0:rPr>
        <ns0:t>The following sections describe in detail the use and configuration of the blocks.</ns0:t>
      </ns0:r>
    </ns0:p>
    <ns0:p>
      <ns0:pPr>
        <ns0:pStyle ns0:val="Heading3"/>
      </ns0:pPr>
      <ns0:r>
        <ns0:rPr>
          <ns0:rFonts ns0:ascii="Arial" ns0:hAnsi="Arial"/>
          <ns0:color ns0:val="000000"/>
          <ns0:sz ns0:val="24"/>
        </ns0:rPr>
        <ns0:t>4.1. Workflow in bulk</ns0:t>
      </ns0:r>
    </ns0:p>
    <ns0:p>
      <ns0:r>
        <ns0:rPr>
          <ns0:rFonts ns0:ascii="Arial" ns0:hAnsi="Arial"/>
          <ns0:sz ns0:val="20"/>
        </ns0:rPr>
        <ns0:t>The following workflow describes the contents of the block:</ns0:t>
      </ns0:r>
    </ns0:p>
    <ns0:p>
      <ns0:pPr>
        <ns0:jc ns0:val="center"/>
      </ns0:pPr>
      <ns0:r>
        <ns0:drawing>
          <ns2:inline>
            <ns2:extent cx="2743200" cy="4297680"/>
            <ns2:docPr id="1" name="Picture 1"/>
            <ns2:cNvGraphicFramePr>
              <ns3:graphicFrameLocks noChangeAspect="1"/>
            </ns2:cNvGraphicFramePr>
            <ns3:graphic>
              <ns3:graphicData uri="http://schemas.openxmlformats.org/drawingml/2006/picture">
                <ns4:pic>
                  <ns4:nvPicPr>
                    <ns4:cNvPr id="0" name="perform ipc.png"/>
                    <ns4:cNvPicPr/>
                  </ns4:nvPicPr>
                  <ns4:blipFill>
                    <ns3:blip ns5:embed="rId9"/>
                    <ns3:stretch>
                      <ns3:fillRect/>
                    </ns3:stretch>
                  </ns4:blipFill>
                  <ns4:spPr>
                    <ns3:xfrm>
                      <ns3:off x="0" y="0"/>
                      <ns3:ext cx="2743200" cy="4297680"/>
                    </ns3:xfrm>
                    <ns3:prstGeom prst="rect"/>
                  </ns4:spPr>
                </ns4:pic>
              </ns3:graphicData>
            </ns3:graphic>
          </ns2:inline>
        </ns0:drawing>
      </ns0:r>
      <ns0:r>
        <ns0:rPr>
          <ns0:rFonts ns0:ascii="Arial" ns0:hAnsi="Arial"/>
          <ns0:i/>
          <ns0:sz ns0:val="20"/>
        </ns0:rPr>
        <ns0:br/>
        <ns0:t>Figure 1</ns0:t>
        <ns0:br/>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Number</ns0:t>
            </ns0:r>
          </ns0:p>
        </ns0:tc>
        <ns0:tc>
          <ns0:tcPr>
            <ns0:tcW ns0:type="dxa" ns0:w="4320"/>
          </ns0:tcPr>
          <ns0:p>
            <ns0:pPr>
              <ns0:jc ns0:val="center"/>
            </ns0:pPr>
            <ns0:r>
              <ns0:rPr>
                <ns0:rFonts ns0:ascii="Arial" ns0:hAnsi="Arial"/>
                <ns0:b/>
                <ns0:color ns0:val="000000"/>
                <ns0:sz ns0:val="20"/>
              </ns0:rPr>
              <ns0:t>Description of the workflow</ns0:t>
            </ns0:r>
          </ns0:p>
        </ns0:tc>
      </ns0:tr>
      <ns0:tr>
        <ns0:tc>
          <ns0:tcPr>
            <ns0:tcW ns0:type="dxa" ns0:w="4320"/>
          </ns0:tcPr>
          <ns0:p>
            <ns0:r>
              <ns0:rPr>
                <ns0:rFonts ns0:ascii="Arial" ns0:hAnsi="Arial"/>
                <ns0:color ns0:val="000000"/>
                <ns0:sz ns0:val="20"/>
              </ns0:rPr>
              <ns0:t>C.F.001</ns0:t>
            </ns0:r>
          </ns0:p>
        </ns0:tc>
        <ns0:tc>
          <ns0:tcPr>
            <ns0:tcW ns0:type="dxa" ns0:w="4320"/>
          </ns0:tcPr>
          <ns0:p>
            <ns0:r>
              <ns0:rPr>
                <ns0:rFonts ns0:ascii="Arial" ns0:hAnsi="Arial"/>
                <ns0:color ns0:val="000000"/>
                <ns0:sz ns0:val="20"/>
              </ns0:rPr>
              <ns0:t>BF CBF001 with 1 activity to open and read the SOP document.</ns0:t>
            </ns0:r>
          </ns0:p>
        </ns0:tc>
      </ns0:tr>
      <ns0:tr>
        <ns0:tc>
          <ns0:tcPr>
            <ns0:tcW ns0:type="dxa" ns0:w="4320"/>
          </ns0:tcPr>
          <ns0:p>
            <ns0:r>
              <ns0:rPr>
                <ns0:rFonts ns0:ascii="Arial" ns0:hAnsi="Arial"/>
                <ns0:color ns0:val="000000"/>
                <ns0:sz ns0:val="20"/>
              </ns0:rPr>
              <ns0:t>I'm sorry, I'm sorry.
Regulation (EU) No 1308/2013 of the European Parliament and of the Council of 17 December 2013 on the implementation of the Cooperation Agreement between the European Economic Community and the People's Republic of China on the application of the Cooperation Agreement between the European Economic Community and the People's Republic of China on the application of the Cooperation Agreement between the European Economic Community and the People's Republic of China on the application of the Cooperation Agreement between the European Economic Community and the People's Republic of China on the application of the Cooperation Agreement between the European Economic Community and the People's Republic of China on the application of the Cooperation Agreement between the European Economic Republic of China and the People's Republic of China on the application of the Cooperation Agreement between the European Economic Community and the People's Republic of China on the application of the Cooperation Agreement between the European Economic Community and the People's Republic of China on the application of the Economic Cooperation Agreement between the European Economic Community and the People's Republic of China on the application of the Economic Agreement between the European Economic Community and the People's Republic of China on the application of the Economic Agreement on the application of the Economic Cooperation Agreement between the European Economic Area.</ns0:t>
            </ns0:r>
          </ns0:p>
        </ns0:tc>
        <ns0:tc>
          <ns0:tcPr>
            <ns0:tcW ns0:type="dxa" ns0:w="4320"/>
          </ns0:tcPr>
          <ns0:p>
            <ns0:r>
              <ns0:rPr>
                <ns0:rFonts ns0:ascii="Arial" ns0:hAnsi="Arial"/>
                <ns0:color ns0:val="000000"/>
                <ns0:sz ns0:val="20"/>
              </ns0:rPr>
              <ns0:t>BF CBF002 has four distinct activities: sampling, sampling date, sampling time and compliance, each associated with certification of sampling or execution of the IPC on a specified number of units according to an instructional reference.</ns0:t>
            </ns0:r>
          </ns0:p>
        </ns0:tc>
      </ns0:tr>
    </ns0:tbl>
    <ns0:p>
      <ns0:r>
        <ns0:t xml:space="preserve">Where applicable</ns0:t>
      </ns0:r>
    </ns0:p>
    <ns0:p>
      <ns0:pPr>
        <ns0:pStyle ns0:val="Heading3"/>
      </ns0:pPr>
      <ns0:r>
        <ns0:rPr>
          <ns0:rFonts ns0:ascii="Arial" ns0:hAnsi="Arial"/>
          <ns0:color ns0:val="000000"/>
          <ns0:sz ns0:val="24"/>
        </ns0:rPr>
        <ns0:t>4.2 Description of block design</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Number</ns0:t>
            </ns0:r>
          </ns0:p>
        </ns0:tc>
        <ns0:tc>
          <ns0:tcPr>
            <ns0:tcW ns0:type="dxa" ns0:w="4320"/>
          </ns0:tcPr>
          <ns0:p>
            <ns0:pPr>
              <ns0:jc ns0:val="center"/>
            </ns0:pPr>
            <ns0:r>
              <ns0:rPr>
                <ns0:rFonts ns0:ascii="Arial" ns0:hAnsi="Arial"/>
                <ns0:b/>
                <ns0:color ns0:val="000000"/>
                <ns0:sz ns0:val="20"/>
              </ns0:rPr>
              <ns0:t>Detailed description</ns0:t>
            </ns0:r>
          </ns0:p>
        </ns0:tc>
      </ns0:tr>
      <ns0:tr>
        <ns0:tc>
          <ns0:tcPr>
            <ns0:tcW ns0:type="dxa" ns0:w="4320"/>
          </ns0:tcPr>
          <ns0:p>
            <ns0:r>
              <ns0:rPr>
                <ns0:rFonts ns0:ascii="Arial" ns0:hAnsi="Arial"/>
                <ns0:color ns0:val="000000"/>
                <ns0:sz ns0:val="20"/>
              </ns0:rPr>
              <ns0:t>C.F.001</ns0:t>
            </ns0:r>
          </ns0:p>
        </ns0:tc>
        <ns0:tc>
          <ns0:tcPr>
            <ns0:tcW ns0:type="dxa" ns0:w="4320"/>
          </ns0:tcPr>
          <ns0:p>
            <ns0:r>
              <ns0:rPr>
                <ns0:rFonts ns0:ascii="Arial" ns0:hAnsi="Arial"/>
                <ns0:color ns0:val="000000"/>
                <ns0:sz ns0:val="20"/>
              </ns0:rPr>
              <ns0:t>1. The operator opens and reads the SOP document.</ns0:t>
              <ns0:br/>
              <ns0:t>"SOP0001", description is "SOP display", SOP activity with formula path to SOP: {String variable SOP}</ns0:t>
              <ns0:br/>
              <ns0:t xml:space="preserve">Where applicable</ns0:t>
            </ns0:r>
          </ns0:p>
        </ns0:tc>
      </ns0:tr>
      <ns0:tr>
        <ns0:tc>
          <ns0:tcPr>
            <ns0:tcW ns0:type="dxa" ns0:w="4320"/>
          </ns0:tcPr>
          <ns0:p>
            <ns0:r>
              <ns0:rPr>
                <ns0:rFonts ns0:ascii="Arial" ns0:hAnsi="Arial"/>
                <ns0:color ns0:val="000000"/>
                <ns0:sz ns0:val="20"/>
              </ns0:rPr>
              <ns0:t>I'm sorry, I'm sorry.
Regulation (EU) No 1308/2013 of the European Parliament and of the Council of 17 December 2013 on the implementation of the Cooperation Agreement between the European Economic Community and the People's Republic of China on the application of the Cooperation Agreement between the European Economic Community and the People's Republic of China on the application of the Cooperation Agreement between the European Economic Community and the People's Republic of China on the application of the Cooperation Agreement between the European Economic Community and the People's Republic of China on the application of the Cooperation Agreement between the European Economic Community and the People's Republic of China on the application of the Cooperation Agreement between the European Economic Republic of China and the People's Republic of China on the application of the Cooperation Agreement between the European Economic Community and the People's Republic of China on the application of the Cooperation Agreement between the European Economic Community and the People's Republic of China on the application of the Economic Cooperation Agreement between the European Economic Community and the People's Republic of China on the application of the Economic Agreement between the European Economic Community and the People's Republic of China on the application of the Economic Agreement on the application of the Economic Cooperation Agreement between the European Economic Area.</ns0:t>
            </ns0:r>
          </ns0:p>
        </ns0:tc>
        <ns0:tc>
          <ns0:tcPr>
            <ns0:tcW ns0:type="dxa" ns0:w="4320"/>
          </ns0:tcPr>
          <ns0:p>
            <ns0:r>
              <ns0:rPr>
                <ns0:rFonts ns0:ascii="Arial" ns0:hAnsi="Arial"/>
                <ns0:color ns0:val="000000"/>
                <ns0:sz ns0:val="20"/>
              </ns0:rPr>
              <ns0:t>1. The system displays the sampling state.</ns0:t>
              <ns0:br/>
              <ns0:t>"FRM0001" description is "Sampling". Formula type activity with formula: [Check "variable" Sampl]</ns0:t>
              <ns0:br/>
              <ns0:br/>
              <ns0:t>2. The system displays the sampling date.</ns0:t>
              <ns0:br/>
              <ns0:t>"FRM0002" description is "Sampling date". Formula type activity with formula: [Date "variable" SampD]</ns0:t>
              <ns0:br/>
              <ns0:br/>
              <ns0:t>3. The system displays the sampling time.</ns0:t>
              <ns0:br/>
              <ns0:t>"FRM0003" description is "Samptation time". Formula type activity with formula: [Time "variable" SampT]</ns0:t>
              <ns0:br/>
              <ns0:br/>
              <ns0:t>4. The system displays compliance status.</ns0:t>
              <ns0:br/>
              <ns0:t>"FRM0004" description is "Conformity". Activity of formula type with formula: [Conf "variable" Confo]</ns0:t>
            </ns0:r>
          </ns0:p>
        </ns0:tc>
      </ns0:tr>
    </ns0:tbl>
    <ns0:sectPr ns0:rsidR="00FC693F" ns0:rsidRPr="0006063C" ns0:rsidSect="00034616">
      <ns0:pgSz ns0:w="12240" ns0:h="15840"/>
      <ns0:pgMar ns0:top="1440" ns0:right="1800" ns0:bottom="1440" ns0:left="1800" ns0:header="720" ns0:footer="720" ns0:gutter="0"/>
      <ns0:cols ns0:space="720"/>
      <ns0:docGrid ns0:linePitch="360"/>
    </ns0:sectPr>
  </ns0:body>
</ns0: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