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openxmlformats.org/drawingml/2006/wordprocessingDrawing" xmlns:ns3="http://schemas.openxmlformats.org/drawingml/2006/main" xmlns:ns4="http://schemas.openxmlformats.org/drawingml/2006/picture" xmlns:ns5="http://schemas.openxmlformats.org/officeDocument/2006/relationships" ns1:Ignorable="w14 wp14">
  <ns0:body>
    <ns0:p>
      <ns0:pPr>
        <ns0:jc ns0:val="center"/>
      </ns0:pPr>
      <ns0:r>
        <ns0:rPr>
          <ns0:sz ns0:val="56"/>
        </ns0:rPr>
        <ns0:br/>
        <ns0:br/>
        <ns0:br/>
        <ns0:t xml:space="preserve">Functional specifications</ns0:t>
        <ns0:br/>
        <ns0:t xml:space="preserve">Perform IPC</ns0:t>
        <ns0:br/>
      </ns0:r>
    </ns0:p>
    <ns0:p>
      <ns0:r>
        <ns0:br/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t>Name / Project role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Signature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Date</ns0:t>
              <ns0:br/>
              <ns0:t>(dd/mm/yyyy)</ns0:t>
            </ns0:r>
          </ns0:p>
        </ns0:tc>
      </ns0:tr>
      <ns0:tr>
        <ns0:tc>
          <ns0:tcPr>
            <ns0:tcW ns0:type="dxa" ns0:w="4320"/>
          </ns0:tcPr>
          <ns0:p>
            <ns0:r>
              <ns0:t>Author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  <ns0:tr>
        <ns0:tc>
          <ns0:tcPr>
            <ns0:tcW ns0:type="dxa" ns0:w="4320"/>
          </ns0:tcPr>
          <ns0:p>
            <ns0:r>
              <ns0:t>Scope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Cambria (Body)" ns0:hAnsi="Cambria (Body)"/>
          <ns0:color ns0:val="000000"/>
          <ns0:sz ns0:val="36"/>
        </ns0:rPr>
        <ns0:t>Table of Contents</ns0:t>
      </ns0:r>
    </ns0:p>
    <ns0:p>
      <ns0:r>
        <ns0:br/>
        <ns0:br/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Introduction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1.1 Glossary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2. Block identity card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3. Block input variables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4. Block detailed specification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4.1 Block workflow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4.2 Block design description</ns0:t>
      </ns0:r>
    </ns0:p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INTRODUCTION</ns0:t>
      </ns0:r>
    </ns0:p>
    <ns0:p>
      <ns0:r>
        <ns0:t xml:space="preserve">The President</ns0:t>
      </ns0:r>
    </ns0:p>
    <ns0:p>
      <ns0:r>
        <ns0:rPr>
          <ns0:rFonts ns0:ascii="Arial" ns0:hAnsi="Arial"/>
          <ns0:sz ns0:val="20"/>
        </ns0:rPr>
        <ns0:br/>
        <ns0:t xml:space="preserve">The President</ns0:t>
        <ns0:br/>
        <ns0:t>The aim of this document is to describe the interpretation of the requirements by the IS teams and to describe the functionality to be provided.</ns0:t>
        <ns0:br/>
        <ns0:t xml:space="preserve">The President</ns0:t>
        <ns0:br/>
        <ns0:t>The purpose of this block is:</ns0:t>
        <ns0:br/>
        <ns0:t xml:space="preserve">The President</ns0:t>
      </ns0:r>
    </ns0:p>
    <ns0:p>
      <ns0:pPr>
        <ns0:pStyle ns0:val="ListBullet"/>
        <ns0:ind ns0:left="576"/>
      </ns0:pPr>
      <ns0:r>
        <ns0:rPr>
          <ns0:rFonts ns0:ascii="Arial" ns0:hAnsi="Arial"/>
          <ns0:sz ns0:val="20"/>
        </ns0:rPr>
        <ns0:t>Identify devices or workstations where the IPC is carried out Date and time of sampling using a check box Detection of IPC test conformity manually via a check box Detection of operator binding with an e-signature</ns0:t>
      </ns0:r>
    </ns0:p>
    <ns0:p>
      <ns0:r>
        <ns0:br/>
        <ns0:br/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1.1. Glossary</ns0:t>
      </ns0:r>
    </ns0:p>
    <ns0:p>
      <ns0:r>
        <ns0:t xml:space="preserve">The President</ns0:t>
      </ns0:r>
    </ns0:p>
    <ns0:p>
      <ns0:r>
        <ns0:rPr>
          <ns0:rFonts ns0:ascii="Arial" ns0:hAnsi="Arial"/>
          <ns0:sz ns0:val="20"/>
        </ns0:rPr>
        <ns0:t>This section defines specific project/system terms and acronyms that could be used in this document.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Name or abbreviation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Definition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Not applicable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Not applicable</ns0:t>
            </ns0:r>
          </ns0:p>
        </ns0:tc>
      </ns0:tr>
    </ns0:tbl>
    <ns0:p>
      <ns0:r>
        <ns0:br/>
        <ns0:br/>
        <ns0:br/>
        <ns0:br/>
        <ns0:br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BLOCK IDENTITY CARD</ns0:t>
      </ns0:r>
    </ns0:p>
    <ns0:p>
      <ns0:r>
        <ns0:t xml:space="preserve">The President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Heading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Version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Description</ns0:t>
            </ns0:r>
          </ns0:p>
        </ns0:tc>
      </ns0:tr>
      <ns0:tr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YXCR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V1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Perform IPC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3. BLOCK INPUT VARIABLES</ns0:t>
      </ns0:r>
    </ns0:p>
    <ns0:p>
      <ns0:r>
        <ns0:t xml:space="preserve">The President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8640"/>
            <ns0:gridSpan ns0:val="3"/>
          </ns0:tcPr>
          <ns0:p>
            <ns0:pPr>
              <ns0:jc ns0:val="center"/>
            </ns0:pPr>
            <ns0:r>
              <ns0:rPr>
                <ns0:b/>
              </ns0:rPr>
              <ns0:t>Input variable</ns0:t>
            </ns0:r>
          </ns0:p>
        </ns0:tc>
      </ns0:tr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Variable name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Data type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Description</ns0:t>
            </ns0:r>
          </ns0:p>
        </ns0:tc>
      </ns0:tr>
      <ns0:tr>
        <ns0:tc>
          <ns0:tcPr>
            <ns0:tcW ns0:type="dxa" ns0:w="2880"/>
          </ns0:tcPr>
          <ns0:p>
            <ns0:r>
              <ns0:t>Instructions ref (x3)</ns0:t>
            </ns0:r>
          </ns0:p>
        </ns0:tc>
        <ns0:tc>
          <ns0:tcPr>
            <ns0:tcW ns0:type="dxa" ns0:w="2880"/>
          </ns0:tcPr>
          <ns0:p>
            <ns0:r>
              <ns0:t>Hyperlink</ns0:t>
            </ns0:r>
          </ns0:p>
        </ns0:tc>
        <ns0:tc>
          <ns0:tcPr>
            <ns0:tcW ns0:type="dxa" ns0:w="2880"/>
          </ns0:tcPr>
          <ns0:p>
            <ns0:r>
              <ns0:t>Not applicable</ns0:t>
            </ns0:r>
          </ns0:p>
        </ns0:tc>
      </ns0:tr>
      <ns0:tr>
        <ns0:tc>
          <ns0:tcPr>
            <ns0:tcW ns0:type="dxa" ns0:w="2880"/>
          </ns0:tcPr>
          <ns0:p>
            <ns0:r>
              <ns0:t>Equipment name</ns0:t>
            </ns0:r>
          </ns0:p>
        </ns0:tc>
        <ns0:tc>
          <ns0:tcPr>
            <ns0:tcW ns0:type="dxa" ns0:w="2880"/>
          </ns0:tcPr>
          <ns0:p>
            <ns0:r>
              <ns0:t>Text</ns0:t>
            </ns0:r>
          </ns0:p>
        </ns0:tc>
        <ns0:tc>
          <ns0:tcPr>
            <ns0:tcW ns0:type="dxa" ns0:w="2880"/>
          </ns0:tcPr>
          <ns0:p>
            <ns0:r>
              <ns0:t>Not applicable</ns0:t>
            </ns0:r>
          </ns0:p>
        </ns0:tc>
      </ns0:tr>
      <ns0:tr>
        <ns0:tc>
          <ns0:tcPr>
            <ns0:tcW ns0:type="dxa" ns0:w="2880"/>
          </ns0:tcPr>
          <ns0:p>
            <ns0:r>
              <ns0:t>Sampling X units (x2)</ns0:t>
            </ns0:r>
          </ns0:p>
        </ns0:tc>
        <ns0:tc>
          <ns0:tcPr>
            <ns0:tcW ns0:type="dxa" ns0:w="2880"/>
          </ns0:tcPr>
          <ns0:p>
            <ns0:r>
              <ns0:t>Number</ns0:t>
            </ns0:r>
          </ns0:p>
        </ns0:tc>
        <ns0:tc>
          <ns0:tcPr>
            <ns0:tcW ns0:type="dxa" ns0:w="2880"/>
          </ns0:tcPr>
          <ns0:p>
            <ns0:r>
              <ns0:t>Not applicable</ns0:t>
            </ns0:r>
          </ns0:p>
        </ns0:tc>
      </ns0:tr>
      <ns0:tr>
        <ns0:tc>
          <ns0:tcPr>
            <ns0:tcW ns0:type="dxa" ns0:w="2880"/>
          </ns0:tcPr>
          <ns0:p>
            <ns0:r>
              <ns0:t>Date - Examination</ns0:t>
            </ns0:r>
          </ns0:p>
        </ns0:tc>
        <ns0:tc>
          <ns0:tcPr>
            <ns0:tcW ns0:type="dxa" ns0:w="2880"/>
          </ns0:tcPr>
          <ns0:p>
            <ns0:r>
              <ns0:t>Date</ns0:t>
            </ns0:r>
          </ns0:p>
        </ns0:tc>
        <ns0:tc>
          <ns0:tcPr>
            <ns0:tcW ns0:type="dxa" ns0:w="2880"/>
          </ns0:tcPr>
          <ns0:p>
            <ns0:r>
              <ns0:t>Not applicable</ns0:t>
            </ns0:r>
          </ns0:p>
        </ns0:tc>
      </ns0:tr>
      <ns0:tr>
        <ns0:tc>
          <ns0:tcPr>
            <ns0:tcW ns0:type="dxa" ns0:w="2880"/>
          </ns0:tcPr>
          <ns0:p>
            <ns0:r>
              <ns0:t>Periodic review</ns0:t>
            </ns0:r>
          </ns0:p>
        </ns0:tc>
        <ns0:tc>
          <ns0:tcPr>
            <ns0:tcW ns0:type="dxa" ns0:w="2880"/>
          </ns0:tcPr>
          <ns0:p>
            <ns0:r>
              <ns0:t>Time</ns0:t>
            </ns0:r>
          </ns0:p>
        </ns0:tc>
        <ns0:tc>
          <ns0:tcPr>
            <ns0:tcW ns0:type="dxa" ns0:w="2880"/>
          </ns0:tcPr>
          <ns0:p>
            <ns0:r>
              <ns0:t>Not applicable</ns0:t>
            </ns0:r>
          </ns0:p>
        </ns0:tc>
      </ns0:tr>
      <ns0:tr>
        <ns0:tc>
          <ns0:tcPr>
            <ns0:tcW ns0:type="dxa" ns0:w="2880"/>
          </ns0:tcPr>
          <ns0:p>
            <ns0:r>
              <ns0:t>e-Signature - Test</ns0:t>
            </ns0:r>
          </ns0:p>
        </ns0:tc>
        <ns0:tc>
          <ns0:tcPr>
            <ns0:tcW ns0:type="dxa" ns0:w="2880"/>
          </ns0:tcPr>
          <ns0:p>
            <ns0:r>
              <ns0:t>e-character</ns0:t>
            </ns0:r>
          </ns0:p>
        </ns0:tc>
        <ns0:tc>
          <ns0:tcPr>
            <ns0:tcW ns0:type="dxa" ns0:w="2880"/>
          </ns0:tcPr>
          <ns0:p>
            <ns0:r>
              <ns0:t>Not applicable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28"/>
          <ns0:u ns0:val="single"/>
        </ns0:rPr>
        <ns0:t>BLOCK DETAILED SPECIFICATION</ns0:t>
      </ns0:r>
    </ns0:p>
    <ns0:p>
      <ns0:r>
        <ns0:t xml:space="preserve">The President</ns0:t>
      </ns0:r>
    </ns0:p>
    <ns0:p>
      <ns0:r>
        <ns0:rPr>
          <ns0:rFonts ns0:ascii="Arial" ns0:hAnsi="Arial"/>
          <ns0:sz ns0:val="20"/>
        </ns0:rPr>
        <ns0:t>The following sections describe in detail the use and configuration of the block.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4.1. Block workflow</ns0:t>
      </ns0:r>
    </ns0:p>
    <ns0:p>
      <ns0:r>
        <ns0:rPr>
          <ns0:rFonts ns0:ascii="Arial" ns0:hAnsi="Arial"/>
          <ns0:sz ns0:val="20"/>
        </ns0:rPr>
        <ns0:t>The following workflow describes the content of the block:</ns0:t>
      </ns0:r>
    </ns0:p>
    <ns0:p>
      <ns0:pPr>
        <ns0:jc ns0:val="center"/>
      </ns0:pPr>
      <ns0:r>
        <ns0:drawing>
          <ns2:inline>
            <ns2:extent cx="2743200" cy="4297680"/>
            <ns2:docPr id="1" name="Picture 1"/>
            <ns2:cNvGraphicFramePr>
              <ns3:graphicFrameLocks noChangeAspect="1"/>
            </ns2:cNvGraphicFramePr>
            <ns3:graphic>
              <ns3:graphicData uri="http://schemas.openxmlformats.org/drawingml/2006/picture">
                <ns4:pic>
                  <ns4:nvPicPr>
                    <ns4:cNvPr id="0" name="perform ipc.png"/>
                    <ns4:cNvPicPr/>
                  </ns4:nvPicPr>
                  <ns4:blipFill>
                    <ns3:blip ns5:embed="rId9"/>
                    <ns3:stretch>
                      <ns3:fillRect/>
                    </ns3:stretch>
                  </ns4:blipFill>
                  <ns4:spPr>
                    <ns3:xfrm>
                      <ns3:off x="0" y="0"/>
                      <ns3:ext cx="2743200" cy="4297680"/>
                    </ns3:xfrm>
                    <ns3:prstGeom prst="rect"/>
                  </ns4:spPr>
                </ns4:pic>
              </ns3:graphicData>
            </ns3:graphic>
          </ns2:inline>
        </ns0:drawing>
      </ns0:r>
      <ns0:r>
        <ns0:rPr>
          <ns0:rFonts ns0:ascii="Arial" ns0:hAnsi="Arial"/>
          <ns0:i/>
          <ns0:sz ns0:val="20"/>
        </ns0:rPr>
        <ns0:br/>
        <ns0:t>Figure 1</ns0:t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ID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Description of the workflow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Regulation (EU) No 575/2013 of the European Parliament and of the Council of 11 December 2013 on the financial rules applicable to the general budget of the Union (OJ L 347, 20.12.2013, p. 1).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BF CBF001 with 1 activity to open and read the SOP document.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OJ L 157, 15.6.2011, p. 1.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BF CBF002 has four different activities: sampling, sampling date, sampling time and conformity, each linked to the certification of sampling or the implementation of IPC at a certain number of units according to a guidance reference.</ns0:t>
            </ns0:r>
          </ns0:p>
        </ns0:tc>
      </ns0:tr>
    </ns0:tbl>
    <ns0:p>
      <ns0:r>
        <ns0:t xml:space="preserve">The President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4.2. Block design description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ID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Detailed description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Regulation (EU) No 575/2013 of the European Parliament and of the Council of 11 December 2013 on the financial rules applicable to the general budget of the Union (OJ L 347, 20.12.2013, p. 1).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1. Operator opens and reads the SOP document.</ns0:t>
              <ns0:br/>
              <ns0:t>"SOP0001", description is "SOP display", SOP type activity with formula path to SOP: {String variable SOP}</ns0:t>
              <ns0:br/>
              <ns0:t xml:space="preserve">The President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OJ L 157, 15.6.2011, p. 1.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1. System displays the sampling status.</ns0:t>
              <ns0:br/>
              <ns0:t>"FRM0001" description is "sampling". Formula type activity with formula: [Check "variable" Sampl]</ns0:t>
              <ns0:br/>
              <ns0:br/>
              <ns0:t>2. The system shall indicate the date of sampling.</ns0:t>
              <ns0:br/>
              <ns0:t>"FRM0002" description is "sampling date".</ns0:t>
              <ns0:br/>
              <ns0:br/>
              <ns0:t>3. System indicates the time of sampling.</ns0:t>
              <ns0:br/>
              <ns0:t>"FRM0003" Description is "sample time". Formula type Activity with formula: [Time "variable" SampT]</ns0:t>
              <ns0:br/>
              <ns0:br/>
              <ns0:t>4. System indicates the conformity status.</ns0:t>
              <ns0:br/>
              <ns0:t>"FRM0004" Description is "Conformity". Formula type Activity with formula: [Conf "variable" Confo]</ns0:t>
            </ns0:r>
          </ns0:p>
        </ns0:tc>
      </ns0:tr>
    </ns0:tbl>
    <ns0:sectPr ns0:rsidR="00FC693F" ns0:rsidRPr="0006063C" ns0:rsidSect="00034616">
      <ns0:pgSz ns0:w="12240" ns0:h="15840"/>
      <ns0:pgMar ns0:top="1440" ns0:right="1800" ns0:bottom="1440" ns0:left="1800" ns0:header="720" ns0:footer="720" ns0:gutter="0"/>
      <ns0:cols ns0:space="720"/>
      <ns0:docGrid ns0:linePitch="360"/>
    </ns0:sectPr>
  </ns0:body>
</ns0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