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Calibration before mixing</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Project role</ns0:t>
            </ns0:r>
          </ns0:p>
        </ns0:tc>
        <ns0:tc>
          <ns0:tcPr>
            <ns0:tcW ns0:type="dxa" ns0:w="4320"/>
          </ns0:tcPr>
          <ns0:p>
            <ns0:pPr>
              <ns0:jc ns0:val="center"/>
            </ns0:pPr>
            <ns0:r>
              <ns0:t>Signature</ns0:t>
            </ns0:r>
          </ns0:p>
        </ns0:tc>
        <ns0:tc>
          <ns0:tcPr>
            <ns0:tcW ns0:type="dxa" ns0:w="4320"/>
          </ns0:tcPr>
          <ns0:p>
            <ns0:pPr>
              <ns0:jc ns0:val="center"/>
            </ns0:pPr>
            <ns0:r>
              <ns0:t>Date</ns0:t>
              <ns0:br/>
              <ns0:t>(dd/mm/yyyy)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Scope</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Table of Contents</ns0:t>
      </ns0:r>
    </ns0:p>
    <ns0:p>
      <ns0:r>
        <ns0:br/>
        <ns0:br/>
      </ns0:r>
    </ns0:p>
    <ns0:p>
      <ns0:pPr>
        <ns0:pStyle ns0:val="TOCHeading"/>
        <ns0:jc ns0:val="left"/>
      </ns0:pPr>
      <ns0:r>
        <ns0:rPr>
          <ns0:rFonts ns0:ascii="Arial Narrow" ns0:hAnsi="Arial Narrow"/>
          <ns0:color ns0:val="64AAE6"/>
          <ns0:sz ns0:val="28"/>
        </ns0:rPr>
        <ns0:t>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identity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Block detailed specification</ns0:t>
      </ns0:r>
    </ns0:p>
    <ns0:p>
      <ns0:pPr>
        <ns0:pStyle ns0:val="TOCHeading"/>
        <ns0:ind ns0:left="360"/>
        <ns0:jc ns0:val="left"/>
      </ns0:pPr>
      <ns0:r>
        <ns0:rPr>
          <ns0:rFonts ns0:ascii="Arial Narrow" ns0:hAnsi="Arial Narrow"/>
          <ns0:color ns0:val="64AAE6"/>
          <ns0:sz ns0:val="24"/>
        </ns0:rPr>
        <ns0:t>4.1 Block workflow</ns0:t>
      </ns0:r>
    </ns0:p>
    <ns0:p>
      <ns0:pPr>
        <ns0:pStyle ns0:val="TOCHeading"/>
        <ns0:ind ns0:left="360"/>
        <ns0:jc ns0:val="left"/>
      </ns0:pPr>
      <ns0:r>
        <ns0:rPr>
          <ns0:rFonts ns0:ascii="Arial Narrow" ns0:hAnsi="Arial Narrow"/>
          <ns0:color ns0:val="64AAE6"/>
          <ns0:sz ns0:val="24"/>
        </ns0:rPr>
        <ns0:t>4.2 Block design description</ns0:t>
      </ns0:r>
    </ns0:p>
    <ns0:p>
      <ns0:r>
        <ns0:br ns0:type="page"/>
      </ns0:r>
    </ns0:p>
    <ns0:p>
      <ns0:pPr>
        <ns0:pStyle ns0:val="Heading1"/>
      </ns0:pPr>
      <ns0:r>
        <ns0:rPr>
          <ns0:rFonts ns0:ascii="Arial" ns0:hAnsi="Arial"/>
          <ns0:color ns0:val="000000"/>
          <ns0:sz ns0:val="36"/>
          <ns0:u ns0:val="single"/>
        </ns0:rPr>
        <ns0:t>INTRODUCTION</ns0:t>
      </ns0:r>
    </ns0:p>
    <ns0:p>
      <ns0:r>
        <ns0:t xml:space="preserve">The President</ns0:t>
      </ns0:r>
    </ns0:p>
    <ns0:p>
      <ns0:r>
        <ns0:rPr>
          <ns0:rFonts ns0:ascii="Arial" ns0:hAnsi="Arial"/>
          <ns0:sz ns0:val="20"/>
        </ns0:rPr>
        <ns0:br/>
        <ns0:t xml:space="preserve">The President</ns0:t>
        <ns0:br/>
        <ns0:t>The aim of this document is to describe the interpretation of the requirements by the IS teams and to describe the functionality to be provided.</ns0:t>
        <ns0:br/>
        <ns0:t xml:space="preserve">The President</ns0:t>
        <ns0:br/>
        <ns0:t>The purpose of this block is:</ns0:t>
        <ns0:br/>
        <ns0:t xml:space="preserve">The President</ns0:t>
      </ns0:r>
    </ns0:p>
    <ns0:p>
      <ns0:pPr>
        <ns0:pStyle ns0:val="Heading3"/>
      </ns0:pPr>
      <ns0:r>
        <ns0:rPr>
          <ns0:rFonts ns0:ascii="Arial" ns0:hAnsi="Arial"/>
          <ns0:color ns0:val="000000"/>
          <ns0:sz ns0:val="24"/>
        </ns0:rPr>
        <ns0:t>1.1. Glossary</ns0:t>
      </ns0:r>
    </ns0:p>
    <ns0:p>
      <ns0:r>
        <ns0:t xml:space="preserve">The President</ns0:t>
      </ns0:r>
    </ns0:p>
    <ns0:p>
      <ns0:r>
        <ns0:rPr>
          <ns0:rFonts ns0:ascii="Arial" ns0:hAnsi="Arial"/>
          <ns0:sz ns0:val="20"/>
        </ns0:rPr>
        <ns0:t>This section defines specific project/system terms and acronyms that could be used in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Name or abbreviation</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Not applicable</ns0:t>
            </ns0:r>
          </ns0:p>
        </ns0:tc>
        <ns0:tc>
          <ns0:tcPr>
            <ns0:tcW ns0:type="dxa" ns0:w="4320"/>
          </ns0:tcPr>
          <ns0:p>
            <ns0:r>
              <ns0:rPr>
                <ns0:rFonts ns0:ascii="Arial" ns0:hAnsi="Arial"/>
                <ns0:color ns0:val="000000"/>
                <ns0:sz ns0:val="20"/>
              </ns0:rPr>
              <ns0:t>Not applicable</ns0:t>
            </ns0:r>
          </ns0:p>
        </ns0:tc>
      </ns0:tr>
    </ns0:tbl>
    <ns0:p>
      <ns0:r>
        <ns0:br/>
        <ns0:br/>
        <ns0:br/>
        <ns0:br/>
        <ns0:br/>
      </ns0:r>
    </ns0:p>
    <ns0:p>
      <ns0:pPr>
        <ns0:pStyle ns0:val="Heading1"/>
      </ns0:pPr>
      <ns0:r>
        <ns0:rPr>
          <ns0:rFonts ns0:ascii="Arial" ns0:hAnsi="Arial"/>
          <ns0:color ns0:val="000000"/>
          <ns0:sz ns0:val="36"/>
          <ns0:u ns0:val="single"/>
        </ns0:rPr>
        <ns0:t>BLOCK IDENTITY CARD</ns0:t>
      </ns0:r>
    </ns0:p>
    <ns0:p>
      <ns0:r>
        <ns0:t xml:space="preserve">The President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Heading</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Calibration before mixing</ns0:t>
            </ns0:r>
          </ns0:p>
        </ns0:tc>
      </ns0:tr>
    </ns0:tbl>
    <ns0:p>
      <ns0:r>
        <ns0:br ns0:type="page"/>
      </ns0:r>
    </ns0:p>
    <ns0:p>
      <ns0:pPr>
        <ns0:pStyle ns0:val="Heading1"/>
      </ns0:pPr>
      <ns0:r>
        <ns0:rPr>
          <ns0:rFonts ns0:ascii="Arial" ns0:hAnsi="Arial"/>
          <ns0:color ns0:val="000000"/>
          <ns0:sz ns0:val="36"/>
          <ns0:u ns0:val="single"/>
        </ns0:rPr>
        <ns0:t>3. BLOCK INPUT VARIABLES</ns0:t>
      </ns0:r>
    </ns0:p>
    <ns0:p>
      <ns0:r>
        <ns0:t xml:space="preserve">The President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BLOCK DETAILED SPECIFICATION</ns0:t>
      </ns0:r>
    </ns0:p>
    <ns0:p>
      <ns0:r>
        <ns0:t xml:space="preserve">The President</ns0:t>
      </ns0:r>
    </ns0:p>
    <ns0:p>
      <ns0:r>
        <ns0:rPr>
          <ns0:rFonts ns0:ascii="Arial" ns0:hAnsi="Arial"/>
          <ns0:sz ns0:val="20"/>
        </ns0:rPr>
        <ns0:t>The following sections describe in detail the use and configuration of the block.</ns0:t>
      </ns0:r>
    </ns0:p>
    <ns0:p>
      <ns0:pPr>
        <ns0:pStyle ns0:val="Heading3"/>
      </ns0:pPr>
      <ns0:r>
        <ns0:rPr>
          <ns0:rFonts ns0:ascii="Arial" ns0:hAnsi="Arial"/>
          <ns0:color ns0:val="000000"/>
          <ns0:sz ns0:val="24"/>
        </ns0:rPr>
        <ns0:t>4.1. Block workflow</ns0:t>
      </ns0:r>
    </ns0:p>
    <ns0:p>
      <ns0:r>
        <ns0:rPr>
          <ns0:rFonts ns0:ascii="Arial" ns0:hAnsi="Arial"/>
          <ns0:sz ns0:val="20"/>
        </ns0:rPr>
        <ns0:t>The following workflow describes the content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Description of the workflow</ns0:t>
            </ns0:r>
          </ns0:p>
        </ns0:tc>
      </ns0:tr>
      <ns0:tr>
        <ns0:tc>
          <ns0:tcPr>
            <ns0:tcW ns0:type="dxa" ns0:w="4320"/>
          </ns0:tcPr>
          <ns0:p>
            <ns0:r>
              <ns0:rPr>
                <ns0:rFonts ns0:ascii="Arial" ns0:hAnsi="Arial"/>
                <ns0:color ns0:val="000000"/>
                <ns0:sz ns0:val="20"/>
              </ns0:rPr>
              <ns0:t>Regulation (EU) No 575/2013 of the European Parliament and of the Council of 11 December 2013 on the financial rules applicable to the general budget of the Union (OJ L 347, 20.12.2013, p. 1).</ns0:t>
            </ns0:r>
          </ns0:p>
        </ns0:tc>
        <ns0:tc>
          <ns0:tcPr>
            <ns0:tcW ns0:type="dxa" ns0:w="4320"/>
          </ns0:tcPr>
          <ns0:p>
            <ns0:r>
              <ns0:rPr>
                <ns0:rFonts ns0:ascii="Arial" ns0:hAnsi="Arial"/>
                <ns0:color ns0:val="000000"/>
                <ns0:sz ns0:val="20"/>
              </ns0:rPr>
              <ns0:t>BF CBF001 has two different activities: Checking the integrity of the grid after calibration and checking the absence of foreign elements in the grid after calibration, both of which are to be marked as compliant (C) or non-compliant (NC).</ns0:t>
            </ns0:r>
          </ns0:p>
        </ns0:tc>
      </ns0:tr>
    </ns0:tbl>
    <ns0:p>
      <ns0:r>
        <ns0:t xml:space="preserve">The President</ns0:t>
      </ns0:r>
    </ns0:p>
    <ns0:p>
      <ns0:pPr>
        <ns0:pStyle ns0:val="Heading3"/>
      </ns0:pPr>
      <ns0:r>
        <ns0:rPr>
          <ns0:rFonts ns0:ascii="Arial" ns0:hAnsi="Arial"/>
          <ns0:color ns0:val="000000"/>
          <ns0:sz ns0:val="24"/>
        </ns0:rPr>
        <ns0:t>4.2. Block design description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Regulation (EU) No 575/2013 of the European Parliament and of the Council of 11 December 2013 on the financial rules applicable to the general budget of the Union (OJ L 347, 20.12.2013, p. 1).</ns0:t>
            </ns0:r>
          </ns0:p>
        </ns0:tc>
        <ns0:tc>
          <ns0:tcPr>
            <ns0:tcW ns0:type="dxa" ns0:w="4320"/>
          </ns0:tcPr>
          <ns0:p>
            <ns0:r>
              <ns0:rPr>
                <ns0:rFonts ns0:ascii="Arial" ns0:hAnsi="Arial"/>
                <ns0:color ns0:val="000000"/>
                <ns0:sz ns0:val="20"/>
              </ns0:rPr>
              <ns0:t>1. System displays the integrity check of the grid after calibration.</ns0:t>
              <ns0:br/>
              <ns0:t>"FRM0001" description is "Check the integrity of the grid after calibration". Formula type activity with formula: [Type "variable" INTEGR]</ns0:t>
              <ns0:br/>
              <ns0:br/>
              <ns0:t>2. System indicates the absence of foreign elements in the grid after calibration.</ns0:t>
              <ns0:br/>
              <ns0:t>"FRM0002" description is "Check the absence of foreign elements on the grid after calibration". Formula Type Activity with formula: [Type "variable"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